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73AB" w:rsidRDefault="00B273AB" w:rsidP="00393293">
      <w:pPr>
        <w:pStyle w:val="Ttulo1"/>
        <w:rPr>
          <w:lang w:val="es-ES"/>
        </w:rPr>
      </w:pPr>
      <w:r>
        <w:rPr>
          <w:lang w:val="es-ES"/>
        </w:rPr>
        <w:t>Doctrina DIAN indica que extractos bancarios sí pueden servir para soporte de gastos bancarios sin que sea obligatorio elaborar adicionalmente un documento equivalente</w:t>
      </w:r>
    </w:p>
    <w:p w:rsidR="00E463B7" w:rsidRDefault="00393293">
      <w:pPr>
        <w:rPr>
          <w:lang w:val="es-ES"/>
        </w:rPr>
      </w:pPr>
      <w:r>
        <w:rPr>
          <w:noProof/>
          <w:lang w:val="es-ES"/>
        </w:rPr>
        <mc:AlternateContent>
          <mc:Choice Requires="wps">
            <w:drawing>
              <wp:anchor distT="0" distB="0" distL="114300" distR="114300" simplePos="0" relativeHeight="251659264" behindDoc="0" locked="0" layoutInCell="1" allowOverlap="1">
                <wp:simplePos x="0" y="0"/>
                <wp:positionH relativeFrom="column">
                  <wp:posOffset>-1833</wp:posOffset>
                </wp:positionH>
                <wp:positionV relativeFrom="paragraph">
                  <wp:posOffset>142827</wp:posOffset>
                </wp:positionV>
                <wp:extent cx="5495026" cy="690113"/>
                <wp:effectExtent l="0" t="0" r="17145" b="8890"/>
                <wp:wrapNone/>
                <wp:docPr id="653587281" name="Cuadro de texto 1"/>
                <wp:cNvGraphicFramePr/>
                <a:graphic xmlns:a="http://schemas.openxmlformats.org/drawingml/2006/main">
                  <a:graphicData uri="http://schemas.microsoft.com/office/word/2010/wordprocessingShape">
                    <wps:wsp>
                      <wps:cNvSpPr txBox="1"/>
                      <wps:spPr>
                        <a:xfrm>
                          <a:off x="0" y="0"/>
                          <a:ext cx="5495026" cy="690113"/>
                        </a:xfrm>
                        <a:prstGeom prst="rect">
                          <a:avLst/>
                        </a:prstGeom>
                        <a:solidFill>
                          <a:schemeClr val="lt1"/>
                        </a:solidFill>
                        <a:ln w="6350">
                          <a:solidFill>
                            <a:prstClr val="black"/>
                          </a:solidFill>
                        </a:ln>
                      </wps:spPr>
                      <wps:txbx>
                        <w:txbxContent>
                          <w:p w:rsidR="00393293" w:rsidRPr="00393293" w:rsidRDefault="00393293">
                            <w:pPr>
                              <w:rPr>
                                <w:lang w:val="es-ES"/>
                              </w:rPr>
                            </w:pPr>
                            <w:r>
                              <w:rPr>
                                <w:lang w:val="es-ES"/>
                              </w:rPr>
                              <w:t>Así lo concluyó dicha entidad en su Concepto 11620 de agosto 21 de 2025 en el cual hizo cita de otra doctrina contenida en el Concepto General de facturación 106 de agosto de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15pt;margin-top:11.25pt;width:432.7pt;height:5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adasNwIAAHwEAAAOAAAAZHJzL2Uyb0RvYy54bWysVE1v2zAMvQ/YfxB0X2ynSdYEcYosRYYB&#13;&#10;RVsgHXpWZCk2JouapMTOfv0o2flot9Owi0yK1CP5SHp+19aKHIR1FeicZoOUEqE5FJXe5fT7y/rT&#13;&#10;LSXOM10wBVrk9CgcvVt8/DBvzEwMoQRVCEsQRLtZY3Jaem9mSeJ4KWrmBmCERqMEWzOPqt0lhWUN&#13;&#10;otcqGabpJGnAFsYCF87h7X1npIuIL6Xg/klKJzxROcXcfDxtPLfhTBZzNttZZsqK92mwf8iiZpXG&#13;&#10;oGeoe+YZ2dvqD6i64hYcSD/gUCcgZcVFrAGrydJ31WxKZkSsBclx5kyT+3+w/PGwMc+W+PYLtNjA&#13;&#10;QEhj3MzhZainlbYOX8yUoB0pPJ5pE60nHC/Ho+k4HU4o4WibTNMsuwkwyeW1sc5/FVCTIOTUYlsi&#13;&#10;W+zw4HznenIJwRyoqlhXSkUljIJYKUsODJuofMwRwd94KU0aDH4zTiPwG1uAPr/fKsZ/9OldeSGe&#13;&#10;0pjzpfYg+Xbb9oRsoTgiTxa6EXKGryvEfWDOPzOLM4PU4B74JzykAkwGeomSEuyvv90Hf2wlWilp&#13;&#10;cAZz6n7umRWUqG8amzzNRqMwtFEZjT8PUbHXlu21Re/rFSBDGW6c4VEM/l6dRGmhfsV1WYaoaGKa&#13;&#10;Y+yc+pO48t1m4LpxsVxGJxxTw/yD3hgeoENHAp8v7Suzpu+nx0l4hNO0stm7tna+4aWG5d6DrGLP&#13;&#10;A8Edqz3vOOJxavp1DDt0rUevy09j8RsAAP//AwBQSwMEFAAGAAgAAAAhAFz9EAnfAAAADQEAAA8A&#13;&#10;AABkcnMvZG93bnJldi54bWxMT8tOwzAQvCPxD9YicWudpGoV0jgVj8KFEwVx3saubRHbke2m4e9Z&#13;&#10;TnAZaTWz82h3sxvYpGKywQsolwUw5fsgrdcCPt6fFzWwlNFLHIJXAr5Vgl13fdViI8PFv6npkDUj&#13;&#10;E58aFGByHhvOU2+Uw7QMo/LEnUJ0mOmMmsuIFzJ3A6+KYsMdWk8JBkf1aFT/dTg7AfsHfaf7GqPZ&#13;&#10;19Laaf48veoXIW5v5qctwf0WWFZz/vuA3w3UHzoqdgxnLxMbBCxWJBRQVWtgRNebdQnsSLpVWQHv&#13;&#10;Wv5/RfcDAAD//wMAUEsBAi0AFAAGAAgAAAAhALaDOJL+AAAA4QEAABMAAAAAAAAAAAAAAAAAAAAA&#13;&#10;AFtDb250ZW50X1R5cGVzXS54bWxQSwECLQAUAAYACAAAACEAOP0h/9YAAACUAQAACwAAAAAAAAAA&#13;&#10;AAAAAAAvAQAAX3JlbHMvLnJlbHNQSwECLQAUAAYACAAAACEALmnWrDcCAAB8BAAADgAAAAAAAAAA&#13;&#10;AAAAAAAuAgAAZHJzL2Uyb0RvYy54bWxQSwECLQAUAAYACAAAACEAXP0QCd8AAAANAQAADwAAAAAA&#13;&#10;AAAAAAAAAACRBAAAZHJzL2Rvd25yZXYueG1sUEsFBgAAAAAEAAQA8wAAAJ0FAAAAAA==&#13;&#10;" fillcolor="white [3201]" strokeweight=".5pt">
                <v:textbox>
                  <w:txbxContent>
                    <w:p w:rsidR="00393293" w:rsidRPr="00393293" w:rsidRDefault="00393293">
                      <w:pPr>
                        <w:rPr>
                          <w:lang w:val="es-ES"/>
                        </w:rPr>
                      </w:pPr>
                      <w:r>
                        <w:rPr>
                          <w:lang w:val="es-ES"/>
                        </w:rPr>
                        <w:t>Así lo concluyó dicha entidad en su Concepto 11620 de agosto 21 de 2025 en el cual hizo cita de otra doctrina contenida en el Concepto General de facturación 106 de agosto de 2022</w:t>
                      </w:r>
                    </w:p>
                  </w:txbxContent>
                </v:textbox>
              </v:shape>
            </w:pict>
          </mc:Fallback>
        </mc:AlternateContent>
      </w:r>
    </w:p>
    <w:p w:rsidR="00E463B7" w:rsidRDefault="00E463B7">
      <w:pPr>
        <w:rPr>
          <w:lang w:val="es-ES"/>
        </w:rPr>
      </w:pPr>
    </w:p>
    <w:p w:rsidR="00393293" w:rsidRDefault="00393293">
      <w:pPr>
        <w:rPr>
          <w:lang w:val="es-ES"/>
        </w:rPr>
      </w:pPr>
    </w:p>
    <w:p w:rsidR="00393293" w:rsidRDefault="00393293">
      <w:pPr>
        <w:rPr>
          <w:lang w:val="es-ES"/>
        </w:rPr>
      </w:pPr>
    </w:p>
    <w:p w:rsidR="00E463B7" w:rsidRDefault="00E463B7">
      <w:pPr>
        <w:rPr>
          <w:lang w:val="es-ES"/>
        </w:rPr>
      </w:pPr>
    </w:p>
    <w:p w:rsidR="00E463B7" w:rsidRPr="00A568B0" w:rsidRDefault="00E463B7">
      <w:pPr>
        <w:rPr>
          <w:rFonts w:ascii="Cambria" w:hAnsi="Cambria"/>
          <w:lang w:val="es-ES"/>
        </w:rPr>
      </w:pPr>
      <w:r w:rsidRPr="00A568B0">
        <w:rPr>
          <w:rFonts w:ascii="Cambria" w:hAnsi="Cambria"/>
          <w:lang w:val="es-ES"/>
        </w:rPr>
        <w:t xml:space="preserve">El pasado </w:t>
      </w:r>
      <w:hyperlink r:id="rId4" w:history="1">
        <w:r w:rsidRPr="00393293">
          <w:rPr>
            <w:rStyle w:val="Hipervnculo"/>
            <w:rFonts w:ascii="Cambria" w:hAnsi="Cambria"/>
            <w:lang w:val="es-ES"/>
          </w:rPr>
          <w:t>21 de agosto de 2025 la DIAN expidió su concepto 11620</w:t>
        </w:r>
      </w:hyperlink>
      <w:r w:rsidRPr="00A568B0">
        <w:rPr>
          <w:rFonts w:ascii="Cambria" w:hAnsi="Cambria"/>
          <w:lang w:val="es-ES"/>
        </w:rPr>
        <w:t xml:space="preserve"> para resolver el interrogante sobre si es obligatorio elaborar el “documentos equivalente en operaciones con los no obligados a facturar” con el propósito de poder deducir los gastos bancarios que pueden figurar en los extractos bancarios (gastos por comisiones e intereses)</w:t>
      </w:r>
    </w:p>
    <w:p w:rsidR="00E463B7" w:rsidRPr="00A568B0" w:rsidRDefault="00E463B7">
      <w:pPr>
        <w:rPr>
          <w:rFonts w:ascii="Cambria" w:hAnsi="Cambria"/>
          <w:lang w:val="es-ES"/>
        </w:rPr>
      </w:pPr>
    </w:p>
    <w:p w:rsidR="00E463B7" w:rsidRPr="00A568B0" w:rsidRDefault="00E463B7">
      <w:pPr>
        <w:rPr>
          <w:rFonts w:ascii="Cambria" w:hAnsi="Cambria"/>
          <w:lang w:val="es-ES"/>
        </w:rPr>
      </w:pPr>
      <w:r w:rsidRPr="00A568B0">
        <w:rPr>
          <w:rFonts w:ascii="Cambria" w:hAnsi="Cambria"/>
          <w:lang w:val="es-ES"/>
        </w:rPr>
        <w:t xml:space="preserve">Al respecto, es necesario recordar que el </w:t>
      </w:r>
      <w:hyperlink r:id="rId5" w:anchor="616-2" w:history="1">
        <w:r w:rsidRPr="00A568B0">
          <w:rPr>
            <w:rStyle w:val="Hipervnculo"/>
            <w:rFonts w:ascii="Cambria" w:hAnsi="Cambria"/>
            <w:lang w:val="es-ES"/>
          </w:rPr>
          <w:t>artículo 616-2 del ET</w:t>
        </w:r>
      </w:hyperlink>
      <w:r w:rsidRPr="00A568B0">
        <w:rPr>
          <w:rFonts w:ascii="Cambria" w:hAnsi="Cambria"/>
          <w:lang w:val="es-ES"/>
        </w:rPr>
        <w:t xml:space="preserve"> establece que justamente las entidades financieras no están o</w:t>
      </w:r>
      <w:r w:rsidR="00A568B0">
        <w:rPr>
          <w:rFonts w:ascii="Cambria" w:hAnsi="Cambria"/>
          <w:lang w:val="es-ES"/>
        </w:rPr>
        <w:t>b</w:t>
      </w:r>
      <w:r w:rsidRPr="00A568B0">
        <w:rPr>
          <w:rFonts w:ascii="Cambria" w:hAnsi="Cambria"/>
          <w:lang w:val="es-ES"/>
        </w:rPr>
        <w:t>ligadas a expedir factura de venta o documento equivalente a factura de venta y por tal motivo dichas entidades siempre cobran sus ingresos mediante valores que figuran en simples “extractos” o “estados de cuenta” que les emiten a sus clientes</w:t>
      </w:r>
    </w:p>
    <w:p w:rsidR="00E463B7" w:rsidRPr="00A568B0" w:rsidRDefault="00E463B7">
      <w:pPr>
        <w:rPr>
          <w:rFonts w:ascii="Cambria" w:hAnsi="Cambria"/>
          <w:lang w:val="es-ES"/>
        </w:rPr>
      </w:pPr>
    </w:p>
    <w:p w:rsidR="00E463B7" w:rsidRPr="00A568B0" w:rsidRDefault="00E463B7">
      <w:pPr>
        <w:rPr>
          <w:rFonts w:ascii="Cambria" w:hAnsi="Cambria"/>
          <w:color w:val="343536"/>
          <w:spacing w:val="2"/>
          <w:shd w:val="clear" w:color="auto" w:fill="FFFFFF"/>
        </w:rPr>
      </w:pPr>
      <w:r w:rsidRPr="00A568B0">
        <w:rPr>
          <w:rFonts w:ascii="Cambria" w:hAnsi="Cambria"/>
          <w:lang w:val="es-ES"/>
        </w:rPr>
        <w:t xml:space="preserve">Además, en el </w:t>
      </w:r>
      <w:hyperlink r:id="rId6" w:anchor="1.6.1.4.3" w:history="1">
        <w:r w:rsidR="00A568B0" w:rsidRPr="00A568B0">
          <w:rPr>
            <w:rStyle w:val="Hipervnculo"/>
            <w:rFonts w:ascii="Cambria" w:hAnsi="Cambria"/>
            <w:lang w:val="es-ES"/>
          </w:rPr>
          <w:t xml:space="preserve">numeral 1 </w:t>
        </w:r>
        <w:r w:rsidRPr="00A568B0">
          <w:rPr>
            <w:rStyle w:val="Hipervnculo"/>
            <w:rFonts w:ascii="Cambria" w:hAnsi="Cambria"/>
            <w:lang w:val="es-ES"/>
          </w:rPr>
          <w:t>artículo 1.6.1.4.3</w:t>
        </w:r>
        <w:r w:rsidR="00A568B0" w:rsidRPr="00A568B0">
          <w:rPr>
            <w:rStyle w:val="Hipervnculo"/>
            <w:rFonts w:ascii="Cambria" w:hAnsi="Cambria"/>
            <w:lang w:val="es-ES"/>
          </w:rPr>
          <w:t xml:space="preserve"> del DUT 1625 de octubre de 2016</w:t>
        </w:r>
      </w:hyperlink>
      <w:r w:rsidR="00A568B0" w:rsidRPr="00A568B0">
        <w:rPr>
          <w:rFonts w:ascii="Cambria" w:hAnsi="Cambria"/>
          <w:lang w:val="es-ES"/>
        </w:rPr>
        <w:t xml:space="preserve"> se ratifica de nuevo que los bancos, </w:t>
      </w:r>
      <w:r w:rsidR="00A568B0" w:rsidRPr="00A568B0">
        <w:rPr>
          <w:rFonts w:ascii="Cambria" w:hAnsi="Cambria"/>
          <w:color w:val="343536"/>
          <w:spacing w:val="2"/>
          <w:shd w:val="clear" w:color="auto" w:fill="FFFFFF"/>
        </w:rPr>
        <w:t>las corporaciones financieras y las compañías de financiamiento no se encuentran obligadas a facturar</w:t>
      </w:r>
    </w:p>
    <w:p w:rsidR="00A568B0" w:rsidRPr="00A568B0" w:rsidRDefault="00A568B0">
      <w:pPr>
        <w:rPr>
          <w:rFonts w:ascii="Cambria" w:hAnsi="Cambria"/>
          <w:color w:val="343536"/>
          <w:spacing w:val="2"/>
          <w:shd w:val="clear" w:color="auto" w:fill="FFFFFF"/>
        </w:rPr>
      </w:pPr>
    </w:p>
    <w:p w:rsidR="00A568B0" w:rsidRPr="00A568B0" w:rsidRDefault="00A568B0">
      <w:pPr>
        <w:rPr>
          <w:rFonts w:ascii="Cambria" w:hAnsi="Cambria"/>
          <w:lang w:val="es-ES"/>
        </w:rPr>
      </w:pPr>
      <w:r w:rsidRPr="00A568B0">
        <w:rPr>
          <w:rFonts w:ascii="Cambria" w:hAnsi="Cambria"/>
          <w:color w:val="343536"/>
          <w:spacing w:val="2"/>
          <w:shd w:val="clear" w:color="auto" w:fill="FFFFFF"/>
        </w:rPr>
        <w:t xml:space="preserve">Sin embargo, </w:t>
      </w:r>
      <w:hyperlink r:id="rId7" w:anchor="1.6.1.4.12" w:history="1">
        <w:r w:rsidRPr="00A568B0">
          <w:rPr>
            <w:rStyle w:val="Hipervnculo"/>
            <w:rFonts w:ascii="Cambria" w:hAnsi="Cambria"/>
            <w:spacing w:val="2"/>
            <w:shd w:val="clear" w:color="auto" w:fill="FFFFFF"/>
          </w:rPr>
          <w:t xml:space="preserve">en </w:t>
        </w:r>
        <w:r w:rsidR="00C67F8B">
          <w:rPr>
            <w:rStyle w:val="Hipervnculo"/>
            <w:rFonts w:ascii="Cambria" w:hAnsi="Cambria"/>
            <w:spacing w:val="2"/>
            <w:shd w:val="clear" w:color="auto" w:fill="FFFFFF"/>
          </w:rPr>
          <w:t>inciso primero de</w:t>
        </w:r>
        <w:r w:rsidRPr="00A568B0">
          <w:rPr>
            <w:rStyle w:val="Hipervnculo"/>
            <w:rFonts w:ascii="Cambria" w:hAnsi="Cambria"/>
            <w:spacing w:val="2"/>
            <w:shd w:val="clear" w:color="auto" w:fill="FFFFFF"/>
          </w:rPr>
          <w:t xml:space="preserve">l parágrafo </w:t>
        </w:r>
        <w:r w:rsidR="00C67F8B">
          <w:rPr>
            <w:rStyle w:val="Hipervnculo"/>
            <w:rFonts w:ascii="Cambria" w:hAnsi="Cambria"/>
            <w:spacing w:val="2"/>
            <w:shd w:val="clear" w:color="auto" w:fill="FFFFFF"/>
          </w:rPr>
          <w:t xml:space="preserve">1 </w:t>
        </w:r>
        <w:r w:rsidRPr="00A568B0">
          <w:rPr>
            <w:rStyle w:val="Hipervnculo"/>
            <w:rFonts w:ascii="Cambria" w:hAnsi="Cambria"/>
            <w:spacing w:val="2"/>
            <w:shd w:val="clear" w:color="auto" w:fill="FFFFFF"/>
          </w:rPr>
          <w:t>del artículo 1.6.1.4.12 del mismo DUT 1625 de 2016,</w:t>
        </w:r>
      </w:hyperlink>
      <w:r w:rsidRPr="00A568B0">
        <w:rPr>
          <w:rFonts w:ascii="Cambria" w:hAnsi="Cambria"/>
          <w:color w:val="343536"/>
          <w:spacing w:val="2"/>
          <w:shd w:val="clear" w:color="auto" w:fill="FFFFFF"/>
        </w:rPr>
        <w:t xml:space="preserve"> el cual regula la elaboración del documento equivalente para soportar gastos que se hayan pagado a terceros que no estén obligados a facturar, se lee lo siguiente</w:t>
      </w:r>
    </w:p>
    <w:p w:rsidR="00B273AB" w:rsidRPr="00A568B0" w:rsidRDefault="00B273AB">
      <w:pPr>
        <w:rPr>
          <w:rFonts w:ascii="Cambria" w:hAnsi="Cambria"/>
          <w:lang w:val="es-ES"/>
        </w:rPr>
      </w:pPr>
    </w:p>
    <w:p w:rsidR="00A568B0" w:rsidRPr="00A568B0" w:rsidRDefault="00A568B0">
      <w:pPr>
        <w:rPr>
          <w:rFonts w:ascii="Cambria" w:hAnsi="Cambria"/>
          <w:i/>
          <w:iCs/>
          <w:color w:val="0070C0"/>
          <w:spacing w:val="2"/>
          <w:shd w:val="clear" w:color="auto" w:fill="FFFFFF"/>
        </w:rPr>
      </w:pPr>
      <w:r>
        <w:rPr>
          <w:rStyle w:val="baj"/>
          <w:rFonts w:ascii="Cambria" w:hAnsi="Cambria"/>
          <w:b/>
          <w:bCs/>
          <w:i/>
          <w:iCs/>
          <w:color w:val="0070C0"/>
          <w:spacing w:val="2"/>
          <w:shd w:val="clear" w:color="auto" w:fill="FFFFFF"/>
        </w:rPr>
        <w:t>“</w:t>
      </w:r>
      <w:r w:rsidRPr="00A568B0">
        <w:rPr>
          <w:rStyle w:val="baj"/>
          <w:rFonts w:ascii="Cambria" w:hAnsi="Cambria"/>
          <w:b/>
          <w:bCs/>
          <w:i/>
          <w:iCs/>
          <w:color w:val="0070C0"/>
          <w:spacing w:val="2"/>
          <w:shd w:val="clear" w:color="auto" w:fill="FFFFFF"/>
        </w:rPr>
        <w:t>PARÁGRAFO 1o. </w:t>
      </w:r>
      <w:r w:rsidRPr="00A568B0">
        <w:rPr>
          <w:rFonts w:ascii="Cambria" w:hAnsi="Cambria"/>
          <w:i/>
          <w:iCs/>
          <w:color w:val="0070C0"/>
          <w:spacing w:val="2"/>
          <w:shd w:val="clear" w:color="auto" w:fill="FFFFFF"/>
        </w:rPr>
        <w:t>Para efectos de lo establecido en el presente artículo, será válido el extracto expedido por los sujetos a los que se refiere el numeral 1 del artículo </w:t>
      </w:r>
      <w:hyperlink r:id="rId8" w:anchor="1.6.1.4.3" w:history="1">
        <w:r w:rsidRPr="00A568B0">
          <w:rPr>
            <w:rStyle w:val="Hipervnculo"/>
            <w:rFonts w:ascii="Cambria" w:hAnsi="Cambria"/>
            <w:i/>
            <w:iCs/>
            <w:color w:val="0070C0"/>
            <w:spacing w:val="2"/>
            <w:shd w:val="clear" w:color="auto" w:fill="FFFFFF"/>
          </w:rPr>
          <w:t>1.6.1.4.3</w:t>
        </w:r>
      </w:hyperlink>
      <w:r w:rsidRPr="00A568B0">
        <w:rPr>
          <w:rFonts w:ascii="Cambria" w:hAnsi="Cambria"/>
          <w:i/>
          <w:iCs/>
          <w:color w:val="0070C0"/>
          <w:spacing w:val="2"/>
          <w:shd w:val="clear" w:color="auto" w:fill="FFFFFF"/>
        </w:rPr>
        <w:t>. de este Decreto, en concordancia con el artículo </w:t>
      </w:r>
      <w:hyperlink r:id="rId9" w:anchor="1.3.1.7.8" w:history="1">
        <w:r w:rsidRPr="00A568B0">
          <w:rPr>
            <w:rStyle w:val="Hipervnculo"/>
            <w:rFonts w:ascii="Cambria" w:hAnsi="Cambria"/>
            <w:i/>
            <w:iCs/>
            <w:color w:val="0070C0"/>
            <w:spacing w:val="2"/>
            <w:shd w:val="clear" w:color="auto" w:fill="FFFFFF"/>
          </w:rPr>
          <w:t>1.3.1.7.8</w:t>
        </w:r>
      </w:hyperlink>
      <w:r w:rsidRPr="00A568B0">
        <w:rPr>
          <w:rFonts w:ascii="Cambria" w:hAnsi="Cambria"/>
          <w:i/>
          <w:iCs/>
          <w:color w:val="0070C0"/>
          <w:spacing w:val="2"/>
          <w:shd w:val="clear" w:color="auto" w:fill="FFFFFF"/>
        </w:rPr>
        <w:t>. de este Decreto</w:t>
      </w:r>
      <w:r>
        <w:rPr>
          <w:rFonts w:ascii="Cambria" w:hAnsi="Cambria"/>
          <w:i/>
          <w:iCs/>
          <w:color w:val="0070C0"/>
          <w:spacing w:val="2"/>
          <w:shd w:val="clear" w:color="auto" w:fill="FFFFFF"/>
        </w:rPr>
        <w:t>”</w:t>
      </w:r>
    </w:p>
    <w:p w:rsidR="00A568B0" w:rsidRPr="00A568B0" w:rsidRDefault="00A568B0">
      <w:pPr>
        <w:rPr>
          <w:rFonts w:ascii="Cambria" w:hAnsi="Cambria"/>
          <w:color w:val="343536"/>
          <w:spacing w:val="2"/>
          <w:shd w:val="clear" w:color="auto" w:fill="FFFFFF"/>
        </w:rPr>
      </w:pPr>
    </w:p>
    <w:p w:rsidR="00A568B0" w:rsidRPr="00A568B0" w:rsidRDefault="00A568B0">
      <w:pPr>
        <w:rPr>
          <w:rFonts w:ascii="Cambria" w:hAnsi="Cambria"/>
          <w:color w:val="343536"/>
          <w:spacing w:val="2"/>
          <w:shd w:val="clear" w:color="auto" w:fill="FFFFFF"/>
        </w:rPr>
      </w:pPr>
      <w:r w:rsidRPr="00A568B0">
        <w:rPr>
          <w:rFonts w:ascii="Cambria" w:hAnsi="Cambria"/>
          <w:color w:val="343536"/>
          <w:spacing w:val="2"/>
          <w:shd w:val="clear" w:color="auto" w:fill="FFFFFF"/>
        </w:rPr>
        <w:t>Al respecto, el mencionado artículo 1.3.1.7.8 del mismo DUT 1625 de 2016 menciona</w:t>
      </w:r>
    </w:p>
    <w:p w:rsidR="00A568B0" w:rsidRPr="00A568B0" w:rsidRDefault="00A568B0">
      <w:pPr>
        <w:rPr>
          <w:rFonts w:ascii="Cambria" w:hAnsi="Cambria"/>
          <w:color w:val="343536"/>
          <w:spacing w:val="2"/>
          <w:shd w:val="clear" w:color="auto" w:fill="FFFFFF"/>
        </w:rPr>
      </w:pPr>
    </w:p>
    <w:p w:rsidR="00A568B0" w:rsidRPr="00A568B0" w:rsidRDefault="00A568B0">
      <w:pPr>
        <w:rPr>
          <w:rFonts w:ascii="Cambria" w:hAnsi="Cambria"/>
          <w:i/>
          <w:iCs/>
          <w:color w:val="0070C0"/>
          <w:spacing w:val="2"/>
          <w:shd w:val="clear" w:color="auto" w:fill="FFFFFF"/>
        </w:rPr>
      </w:pPr>
      <w:bookmarkStart w:id="0" w:name="1.3.1.7.8"/>
      <w:r w:rsidRPr="00A568B0">
        <w:rPr>
          <w:rFonts w:ascii="Cambria" w:hAnsi="Cambria"/>
          <w:i/>
          <w:iCs/>
          <w:color w:val="0070C0"/>
          <w:spacing w:val="2"/>
          <w:shd w:val="clear" w:color="auto" w:fill="FFFFFF"/>
        </w:rPr>
        <w:t>ARTÍCULO 1.3.1.7.8. DOCUMENTO SOPORTE DE IMPUESTOS DESCONTABLES POR IVA PAGADO POR LOS SERVICIOS FINANCIEROS.</w:t>
      </w:r>
      <w:bookmarkEnd w:id="0"/>
      <w:r w:rsidRPr="00A568B0">
        <w:rPr>
          <w:rFonts w:ascii="Cambria" w:hAnsi="Cambria"/>
          <w:i/>
          <w:iCs/>
          <w:color w:val="0070C0"/>
        </w:rPr>
        <w:t> </w:t>
      </w:r>
      <w:r w:rsidRPr="00A568B0">
        <w:rPr>
          <w:rFonts w:ascii="Cambria" w:hAnsi="Cambria"/>
          <w:i/>
          <w:iCs/>
          <w:color w:val="0070C0"/>
          <w:spacing w:val="2"/>
          <w:shd w:val="clear" w:color="auto" w:fill="FFFFFF"/>
        </w:rPr>
        <w:t>Para efectos de soportar el impuesto descontable por concepto del impuesto sobre las ventas pagado por los servicios financieros gravados, los responsables de estos servicios deberán discriminar dicho impuesto, cuando el usuario así lo solicite, en forma global dentro del extracto periódico que se le expida o en el comprobante de la respectiva operación, cuando sea del caso.</w:t>
      </w:r>
    </w:p>
    <w:p w:rsidR="00A568B0" w:rsidRPr="00A568B0" w:rsidRDefault="00A568B0">
      <w:pPr>
        <w:rPr>
          <w:rFonts w:ascii="Cambria" w:hAnsi="Cambria"/>
          <w:i/>
          <w:iCs/>
          <w:color w:val="0070C0"/>
          <w:spacing w:val="2"/>
          <w:shd w:val="clear" w:color="auto" w:fill="FFFFFF"/>
        </w:rPr>
      </w:pPr>
    </w:p>
    <w:p w:rsidR="00995AC4" w:rsidRDefault="00A568B0">
      <w:pPr>
        <w:rPr>
          <w:rFonts w:ascii="Cambria" w:hAnsi="Cambria"/>
          <w:color w:val="000000" w:themeColor="text1"/>
          <w:spacing w:val="2"/>
          <w:shd w:val="clear" w:color="auto" w:fill="FFFFFF"/>
        </w:rPr>
      </w:pPr>
      <w:r w:rsidRPr="00A568B0">
        <w:rPr>
          <w:rFonts w:ascii="Cambria" w:hAnsi="Cambria"/>
          <w:color w:val="000000" w:themeColor="text1"/>
          <w:spacing w:val="2"/>
          <w:shd w:val="clear" w:color="auto" w:fill="FFFFFF"/>
        </w:rPr>
        <w:lastRenderedPageBreak/>
        <w:t>Por tanto, el extracto que emitan las entidades financieras sí sería válido para soportar costos y gastos</w:t>
      </w:r>
      <w:r>
        <w:rPr>
          <w:rFonts w:ascii="Cambria" w:hAnsi="Cambria"/>
          <w:color w:val="000000" w:themeColor="text1"/>
          <w:spacing w:val="2"/>
          <w:shd w:val="clear" w:color="auto" w:fill="FFFFFF"/>
        </w:rPr>
        <w:t>, y hasta para soportar el valor del IVA descontable que se origina en las comisiones pagadas a la entidad financiera y que también figura dentro del mismo extracto.</w:t>
      </w:r>
      <w:r w:rsidRPr="00A568B0">
        <w:rPr>
          <w:rFonts w:ascii="Cambria" w:hAnsi="Cambria"/>
          <w:color w:val="000000" w:themeColor="text1"/>
          <w:spacing w:val="2"/>
          <w:shd w:val="clear" w:color="auto" w:fill="FFFFFF"/>
        </w:rPr>
        <w:t xml:space="preserve"> </w:t>
      </w:r>
    </w:p>
    <w:p w:rsidR="00995AC4" w:rsidRDefault="00995AC4">
      <w:pPr>
        <w:rPr>
          <w:rFonts w:ascii="Cambria" w:hAnsi="Cambria"/>
          <w:color w:val="000000" w:themeColor="text1"/>
          <w:spacing w:val="2"/>
          <w:shd w:val="clear" w:color="auto" w:fill="FFFFFF"/>
        </w:rPr>
      </w:pPr>
    </w:p>
    <w:p w:rsidR="00995AC4" w:rsidRDefault="00A568B0">
      <w:pPr>
        <w:rPr>
          <w:rFonts w:ascii="Cambria" w:hAnsi="Cambria"/>
          <w:color w:val="000000" w:themeColor="text1"/>
          <w:spacing w:val="2"/>
          <w:shd w:val="clear" w:color="auto" w:fill="FFFFFF"/>
        </w:rPr>
      </w:pPr>
      <w:r>
        <w:rPr>
          <w:rFonts w:ascii="Cambria" w:hAnsi="Cambria"/>
          <w:color w:val="000000" w:themeColor="text1"/>
          <w:spacing w:val="2"/>
          <w:shd w:val="clear" w:color="auto" w:fill="FFFFFF"/>
        </w:rPr>
        <w:t xml:space="preserve">Sin embargo, </w:t>
      </w:r>
      <w:r w:rsidRPr="00A568B0">
        <w:rPr>
          <w:rFonts w:ascii="Cambria" w:hAnsi="Cambria"/>
          <w:color w:val="000000" w:themeColor="text1"/>
          <w:spacing w:val="2"/>
          <w:shd w:val="clear" w:color="auto" w:fill="FFFFFF"/>
        </w:rPr>
        <w:t>en los años más recientes muchas entidades financieras han decidido cambiarle el nombre a sus documentos y</w:t>
      </w:r>
      <w:r>
        <w:rPr>
          <w:rFonts w:ascii="Cambria" w:hAnsi="Cambria"/>
          <w:color w:val="000000" w:themeColor="text1"/>
          <w:spacing w:val="2"/>
          <w:shd w:val="clear" w:color="auto" w:fill="FFFFFF"/>
        </w:rPr>
        <w:t xml:space="preserve"> muchas de ellas </w:t>
      </w:r>
      <w:r w:rsidRPr="00A568B0">
        <w:rPr>
          <w:rFonts w:ascii="Cambria" w:hAnsi="Cambria"/>
          <w:color w:val="000000" w:themeColor="text1"/>
          <w:spacing w:val="2"/>
          <w:shd w:val="clear" w:color="auto" w:fill="FFFFFF"/>
        </w:rPr>
        <w:t xml:space="preserve"> dejaron de llamarlos “extractos” para llamarlos “</w:t>
      </w:r>
      <w:r>
        <w:rPr>
          <w:rFonts w:ascii="Cambria" w:hAnsi="Cambria"/>
          <w:color w:val="000000" w:themeColor="text1"/>
          <w:spacing w:val="2"/>
          <w:shd w:val="clear" w:color="auto" w:fill="FFFFFF"/>
        </w:rPr>
        <w:t xml:space="preserve">estados de cuenta” o “reportes bancarios”, </w:t>
      </w:r>
      <w:proofErr w:type="spellStart"/>
      <w:r>
        <w:rPr>
          <w:rFonts w:ascii="Cambria" w:hAnsi="Cambria"/>
          <w:color w:val="000000" w:themeColor="text1"/>
          <w:spacing w:val="2"/>
          <w:shd w:val="clear" w:color="auto" w:fill="FFFFFF"/>
        </w:rPr>
        <w:t>etc</w:t>
      </w:r>
      <w:proofErr w:type="spellEnd"/>
      <w:r>
        <w:rPr>
          <w:rFonts w:ascii="Cambria" w:hAnsi="Cambria"/>
          <w:color w:val="000000" w:themeColor="text1"/>
          <w:spacing w:val="2"/>
          <w:shd w:val="clear" w:color="auto" w:fill="FFFFFF"/>
        </w:rPr>
        <w:t xml:space="preserve">, </w:t>
      </w:r>
      <w:r w:rsidR="00995AC4">
        <w:rPr>
          <w:rFonts w:ascii="Cambria" w:hAnsi="Cambria"/>
          <w:color w:val="000000" w:themeColor="text1"/>
          <w:spacing w:val="2"/>
          <w:shd w:val="clear" w:color="auto" w:fill="FFFFFF"/>
        </w:rPr>
        <w:t xml:space="preserve">pues quizás varias de tales entidades interpretaron que si lo seguían denominando como “extracto”, entonces tendrían que convertirlo en un documento electrónico que se debía transmitir a la DIAN por causa de lo que menciona el </w:t>
      </w:r>
      <w:hyperlink r:id="rId10" w:anchor="1.6.1.4.6" w:history="1">
        <w:r w:rsidR="00995AC4" w:rsidRPr="00995AC4">
          <w:rPr>
            <w:rStyle w:val="Hipervnculo"/>
            <w:rFonts w:ascii="Cambria" w:hAnsi="Cambria"/>
            <w:spacing w:val="2"/>
            <w:shd w:val="clear" w:color="auto" w:fill="FFFFFF"/>
          </w:rPr>
          <w:t>numeral 4 del artículo 1.6.1.4.</w:t>
        </w:r>
        <w:r w:rsidR="00995AC4">
          <w:rPr>
            <w:rStyle w:val="Hipervnculo"/>
            <w:rFonts w:ascii="Cambria" w:hAnsi="Cambria"/>
            <w:spacing w:val="2"/>
            <w:shd w:val="clear" w:color="auto" w:fill="FFFFFF"/>
          </w:rPr>
          <w:t>6 del DUT 1625 de 201</w:t>
        </w:r>
        <w:r w:rsidR="00995AC4" w:rsidRPr="00995AC4">
          <w:rPr>
            <w:rStyle w:val="Hipervnculo"/>
            <w:rFonts w:ascii="Cambria" w:hAnsi="Cambria"/>
            <w:spacing w:val="2"/>
            <w:shd w:val="clear" w:color="auto" w:fill="FFFFFF"/>
          </w:rPr>
          <w:t>6</w:t>
        </w:r>
      </w:hyperlink>
      <w:r w:rsidR="00995AC4">
        <w:rPr>
          <w:rFonts w:ascii="Cambria" w:hAnsi="Cambria"/>
          <w:color w:val="000000" w:themeColor="text1"/>
          <w:spacing w:val="2"/>
          <w:shd w:val="clear" w:color="auto" w:fill="FFFFFF"/>
        </w:rPr>
        <w:t xml:space="preserve"> y los </w:t>
      </w:r>
      <w:hyperlink r:id="rId11" w:anchor="15" w:history="1">
        <w:r w:rsidR="00995AC4" w:rsidRPr="00995AC4">
          <w:rPr>
            <w:rStyle w:val="Hipervnculo"/>
            <w:rFonts w:ascii="Cambria" w:hAnsi="Cambria"/>
            <w:spacing w:val="2"/>
            <w:shd w:val="clear" w:color="auto" w:fill="FFFFFF"/>
          </w:rPr>
          <w:t>artículos 15 a 20 de la Resolución DIAN 165 de noviembre de 2023</w:t>
        </w:r>
      </w:hyperlink>
      <w:r w:rsidR="00995AC4">
        <w:rPr>
          <w:rFonts w:ascii="Cambria" w:hAnsi="Cambria"/>
          <w:color w:val="000000" w:themeColor="text1"/>
          <w:spacing w:val="2"/>
          <w:shd w:val="clear" w:color="auto" w:fill="FFFFFF"/>
        </w:rPr>
        <w:t xml:space="preserve">. Al respecto, en el numeral 4 artículo 1.6.1.4.6 del DUT  1625 de 2016 se lee: </w:t>
      </w:r>
    </w:p>
    <w:p w:rsidR="00995AC4" w:rsidRDefault="00995AC4">
      <w:pPr>
        <w:rPr>
          <w:rFonts w:ascii="Cambria" w:hAnsi="Cambria"/>
          <w:color w:val="000000" w:themeColor="text1"/>
          <w:spacing w:val="2"/>
          <w:shd w:val="clear" w:color="auto" w:fill="FFFFFF"/>
        </w:rPr>
      </w:pPr>
    </w:p>
    <w:p w:rsidR="00995AC4" w:rsidRPr="00995AC4" w:rsidRDefault="00995AC4" w:rsidP="00995AC4">
      <w:pPr>
        <w:rPr>
          <w:rFonts w:ascii="Cambria" w:hAnsi="Cambria"/>
          <w:i/>
          <w:iCs/>
          <w:color w:val="002060"/>
          <w:spacing w:val="2"/>
          <w:shd w:val="clear" w:color="auto" w:fill="FFFFFF"/>
        </w:rPr>
      </w:pPr>
      <w:bookmarkStart w:id="1" w:name="1.6.1.4.6"/>
      <w:r>
        <w:rPr>
          <w:rFonts w:ascii="Cambria" w:hAnsi="Cambria"/>
          <w:i/>
          <w:iCs/>
          <w:color w:val="002060"/>
          <w:spacing w:val="2"/>
          <w:shd w:val="clear" w:color="auto" w:fill="FFFFFF"/>
        </w:rPr>
        <w:t>“</w:t>
      </w:r>
      <w:r w:rsidRPr="00995AC4">
        <w:rPr>
          <w:rFonts w:ascii="Cambria" w:hAnsi="Cambria"/>
          <w:i/>
          <w:iCs/>
          <w:color w:val="002060"/>
          <w:spacing w:val="2"/>
          <w:shd w:val="clear" w:color="auto" w:fill="FFFFFF"/>
        </w:rPr>
        <w:t xml:space="preserve">ARTÍCULO 1.6.1.4.6. DOCUMENTOS EQUIVALENTES A LA FACTURA DE </w:t>
      </w:r>
      <w:bookmarkEnd w:id="1"/>
      <w:r>
        <w:rPr>
          <w:rFonts w:ascii="Cambria" w:hAnsi="Cambria"/>
          <w:i/>
          <w:iCs/>
          <w:color w:val="002060"/>
          <w:spacing w:val="2"/>
          <w:shd w:val="clear" w:color="auto" w:fill="FFFFFF"/>
          <w:lang w:val="es-ES"/>
        </w:rPr>
        <w:t>VEN</w:t>
      </w:r>
      <w:r>
        <w:rPr>
          <w:rFonts w:ascii="Cambria" w:hAnsi="Cambria"/>
          <w:i/>
          <w:iCs/>
          <w:color w:val="002060"/>
          <w:spacing w:val="2"/>
          <w:shd w:val="clear" w:color="auto" w:fill="FFFFFF"/>
        </w:rPr>
        <w:t xml:space="preserve">TA. </w:t>
      </w:r>
      <w:r w:rsidRPr="00995AC4">
        <w:rPr>
          <w:rFonts w:ascii="Cambria" w:hAnsi="Cambria"/>
          <w:i/>
          <w:iCs/>
          <w:color w:val="002060"/>
          <w:spacing w:val="2"/>
          <w:shd w:val="clear" w:color="auto" w:fill="FFFFFF"/>
        </w:rPr>
        <w:t>Son documentos equivalentes a la factura de venta los previstos en el presente artículo y aquellos que señale la Unidad Administrativa Especial Dirección de Impuestos y Aduanas Nacionales (DIAN), de conformidad con la competencia establecida en el inciso 4 del artículo </w:t>
      </w:r>
      <w:hyperlink r:id="rId12" w:anchor="616-1" w:history="1">
        <w:r w:rsidRPr="00995AC4">
          <w:rPr>
            <w:rFonts w:ascii="Cambria" w:hAnsi="Cambria"/>
            <w:i/>
            <w:iCs/>
            <w:color w:val="002060"/>
            <w:spacing w:val="2"/>
            <w:shd w:val="clear" w:color="auto" w:fill="FFFFFF"/>
          </w:rPr>
          <w:t>616-1</w:t>
        </w:r>
      </w:hyperlink>
      <w:r w:rsidRPr="00995AC4">
        <w:rPr>
          <w:rFonts w:ascii="Cambria" w:hAnsi="Cambria"/>
          <w:i/>
          <w:iCs/>
          <w:color w:val="002060"/>
          <w:spacing w:val="2"/>
          <w:shd w:val="clear" w:color="auto" w:fill="FFFFFF"/>
        </w:rPr>
        <w:t> del Estatuto Tributario.</w:t>
      </w:r>
    </w:p>
    <w:p w:rsidR="00995AC4" w:rsidRDefault="00995AC4" w:rsidP="00995AC4">
      <w:pPr>
        <w:rPr>
          <w:rFonts w:ascii="Cambria" w:hAnsi="Cambria"/>
          <w:i/>
          <w:iCs/>
          <w:color w:val="002060"/>
          <w:spacing w:val="2"/>
          <w:shd w:val="clear" w:color="auto" w:fill="FFFFFF"/>
        </w:rPr>
      </w:pPr>
      <w:r>
        <w:rPr>
          <w:rFonts w:ascii="Cambria" w:hAnsi="Cambria"/>
          <w:i/>
          <w:iCs/>
          <w:color w:val="002060"/>
          <w:spacing w:val="2"/>
          <w:shd w:val="clear" w:color="auto" w:fill="FFFFFF"/>
        </w:rPr>
        <w:t>1..</w:t>
      </w:r>
    </w:p>
    <w:p w:rsidR="00995AC4" w:rsidRDefault="00995AC4" w:rsidP="00995AC4">
      <w:pPr>
        <w:rPr>
          <w:rFonts w:ascii="Cambria" w:hAnsi="Cambria"/>
          <w:i/>
          <w:iCs/>
          <w:color w:val="002060"/>
          <w:spacing w:val="2"/>
          <w:shd w:val="clear" w:color="auto" w:fill="FFFFFF"/>
        </w:rPr>
      </w:pPr>
      <w:r>
        <w:rPr>
          <w:rFonts w:ascii="Cambria" w:hAnsi="Cambria"/>
          <w:i/>
          <w:iCs/>
          <w:color w:val="002060"/>
          <w:spacing w:val="2"/>
          <w:shd w:val="clear" w:color="auto" w:fill="FFFFFF"/>
        </w:rPr>
        <w:t>2..</w:t>
      </w:r>
    </w:p>
    <w:p w:rsidR="00995AC4" w:rsidRDefault="00995AC4" w:rsidP="00995AC4">
      <w:pPr>
        <w:rPr>
          <w:rFonts w:ascii="Cambria" w:hAnsi="Cambria"/>
          <w:i/>
          <w:iCs/>
          <w:color w:val="002060"/>
          <w:spacing w:val="2"/>
          <w:shd w:val="clear" w:color="auto" w:fill="FFFFFF"/>
        </w:rPr>
      </w:pPr>
      <w:r>
        <w:rPr>
          <w:rFonts w:ascii="Cambria" w:hAnsi="Cambria"/>
          <w:i/>
          <w:iCs/>
          <w:color w:val="002060"/>
          <w:spacing w:val="2"/>
          <w:shd w:val="clear" w:color="auto" w:fill="FFFFFF"/>
        </w:rPr>
        <w:t>3..</w:t>
      </w:r>
    </w:p>
    <w:p w:rsidR="00995AC4" w:rsidRDefault="00995AC4" w:rsidP="00995AC4">
      <w:pPr>
        <w:rPr>
          <w:rFonts w:ascii="Cambria" w:hAnsi="Cambria"/>
          <w:i/>
          <w:iCs/>
          <w:color w:val="002060"/>
          <w:spacing w:val="2"/>
          <w:shd w:val="clear" w:color="auto" w:fill="FFFFFF"/>
        </w:rPr>
      </w:pPr>
      <w:r w:rsidRPr="00995AC4">
        <w:rPr>
          <w:rFonts w:ascii="Cambria" w:hAnsi="Cambria"/>
          <w:i/>
          <w:iCs/>
          <w:color w:val="002060"/>
          <w:spacing w:val="2"/>
          <w:shd w:val="clear" w:color="auto" w:fill="FFFFFF"/>
        </w:rPr>
        <w:t>4. El extracto. El extracto lo podrán expedir los obligados a facturar que sean sociedades fiduciarias, fondos de inversión colectiva, fondos de capital privado, fondos de inversión extranjera, fondos mutuos de inversión, fondos de valores, fondos de pensiones y de cesantías, por los ingresos que obtengan por concepto de depósitos y demás recursos captados del público y en general por las operaciones de financiamiento efectuadas por las cajas de compensación, y entidades del Estado que realizan las citadas operaciones</w:t>
      </w:r>
    </w:p>
    <w:p w:rsidR="00995AC4" w:rsidRPr="00995AC4" w:rsidRDefault="00995AC4" w:rsidP="00995AC4">
      <w:pPr>
        <w:rPr>
          <w:rFonts w:ascii="Cambria" w:hAnsi="Cambria"/>
          <w:i/>
          <w:iCs/>
          <w:color w:val="002060"/>
          <w:spacing w:val="2"/>
          <w:shd w:val="clear" w:color="auto" w:fill="FFFFFF"/>
        </w:rPr>
      </w:pPr>
    </w:p>
    <w:p w:rsidR="00FE03EC" w:rsidRDefault="00995AC4">
      <w:pPr>
        <w:rPr>
          <w:rFonts w:ascii="Cambria" w:hAnsi="Cambria"/>
          <w:color w:val="000000" w:themeColor="text1"/>
          <w:spacing w:val="2"/>
          <w:shd w:val="clear" w:color="auto" w:fill="FFFFFF"/>
        </w:rPr>
      </w:pPr>
      <w:r>
        <w:rPr>
          <w:rFonts w:ascii="Cambria" w:hAnsi="Cambria"/>
          <w:color w:val="000000" w:themeColor="text1"/>
          <w:spacing w:val="2"/>
          <w:shd w:val="clear" w:color="auto" w:fill="FFFFFF"/>
        </w:rPr>
        <w:t xml:space="preserve">En vista de lo anterior, y en especial como consecuencia de que las entidades financieras la hayan eliminado la palabra “extracto” a los resúmenes mensuales </w:t>
      </w:r>
      <w:r w:rsidR="00FE03EC">
        <w:rPr>
          <w:rFonts w:ascii="Cambria" w:hAnsi="Cambria"/>
          <w:color w:val="000000" w:themeColor="text1"/>
          <w:spacing w:val="2"/>
          <w:shd w:val="clear" w:color="auto" w:fill="FFFFFF"/>
        </w:rPr>
        <w:t>de las operaciones de las cuentas bancarias, o a los documentos con los cuales realizan los cobros por intereses y capital de los préstamos otorgados a sus clientes, lo que sucedió es que muchos contribuyentes optaron elaborar siempre un “documento equivalente en operaciones con los no obligados a facturar” (regulado en la Resolución 167 de diciembre de 2021) para poder tomarse como gasto deducible, o como IVA descontable, los valores que les seguían cobrando las entidades financieras</w:t>
      </w:r>
    </w:p>
    <w:p w:rsidR="00FE03EC" w:rsidRDefault="00FE03EC">
      <w:pPr>
        <w:rPr>
          <w:rFonts w:ascii="Cambria" w:hAnsi="Cambria"/>
          <w:color w:val="000000" w:themeColor="text1"/>
          <w:spacing w:val="2"/>
          <w:shd w:val="clear" w:color="auto" w:fill="FFFFFF"/>
        </w:rPr>
      </w:pPr>
    </w:p>
    <w:p w:rsidR="00B273AB" w:rsidRDefault="00995AC4" w:rsidP="00393293">
      <w:pPr>
        <w:pStyle w:val="Ttulo2"/>
        <w:rPr>
          <w:shd w:val="clear" w:color="auto" w:fill="FFFFFF"/>
        </w:rPr>
      </w:pPr>
      <w:r>
        <w:rPr>
          <w:shd w:val="clear" w:color="auto" w:fill="FFFFFF"/>
        </w:rPr>
        <w:t xml:space="preserve">De acuerdo con la DIAN existen dos tipos de </w:t>
      </w:r>
      <w:r>
        <w:rPr>
          <w:shd w:val="clear" w:color="auto" w:fill="FFFFFF"/>
          <w:lang w:val="es-ES"/>
        </w:rPr>
        <w:t>“extractos”</w:t>
      </w:r>
    </w:p>
    <w:p w:rsidR="00995AC4" w:rsidRDefault="00995AC4">
      <w:pPr>
        <w:rPr>
          <w:rFonts w:ascii="Cambria" w:hAnsi="Cambria"/>
          <w:color w:val="000000" w:themeColor="text1"/>
          <w:spacing w:val="2"/>
          <w:shd w:val="clear" w:color="auto" w:fill="FFFFFF"/>
        </w:rPr>
      </w:pPr>
      <w:r>
        <w:rPr>
          <w:rFonts w:ascii="Cambria" w:hAnsi="Cambria"/>
          <w:color w:val="000000" w:themeColor="text1"/>
          <w:spacing w:val="2"/>
          <w:shd w:val="clear" w:color="auto" w:fill="FFFFFF"/>
        </w:rPr>
        <w:t>Teniendo presente todo lo anterior, es importante</w:t>
      </w:r>
      <w:r w:rsidR="00FE03EC">
        <w:rPr>
          <w:rFonts w:ascii="Cambria" w:hAnsi="Cambria"/>
          <w:color w:val="000000" w:themeColor="text1"/>
          <w:spacing w:val="2"/>
          <w:shd w:val="clear" w:color="auto" w:fill="FFFFFF"/>
        </w:rPr>
        <w:t xml:space="preserve"> destacar que en su Concepto 11620 de agosto 21 de 2025 la DIAN empieza destacando primero la doctrina que ya estaba contenida en los numerales 3.3.5 y 3.3.5.1 del Concepto General de Facturación 106 de agosto de 2022 en los cuales se había hecho mención de que en </w:t>
      </w:r>
      <w:r w:rsidR="00FE03EC">
        <w:rPr>
          <w:rFonts w:ascii="Cambria" w:hAnsi="Cambria"/>
          <w:color w:val="000000" w:themeColor="text1"/>
          <w:spacing w:val="2"/>
          <w:shd w:val="clear" w:color="auto" w:fill="FFFFFF"/>
        </w:rPr>
        <w:lastRenderedPageBreak/>
        <w:t>la actualidad las entidades financieras terminan emitiendo dos diferentes tipos de extractos</w:t>
      </w:r>
    </w:p>
    <w:p w:rsidR="00FE03EC" w:rsidRDefault="00FE03EC">
      <w:pPr>
        <w:rPr>
          <w:rFonts w:ascii="Cambria" w:hAnsi="Cambria"/>
          <w:color w:val="000000" w:themeColor="text1"/>
          <w:spacing w:val="2"/>
          <w:shd w:val="clear" w:color="auto" w:fill="FFFFFF"/>
        </w:rPr>
      </w:pPr>
    </w:p>
    <w:p w:rsidR="00FE03EC" w:rsidRDefault="00FE03EC">
      <w:pPr>
        <w:rPr>
          <w:rFonts w:ascii="Cambria" w:hAnsi="Cambria"/>
          <w:color w:val="000000" w:themeColor="text1"/>
          <w:spacing w:val="2"/>
          <w:shd w:val="clear" w:color="auto" w:fill="FFFFFF"/>
        </w:rPr>
      </w:pPr>
      <w:r>
        <w:rPr>
          <w:rFonts w:ascii="Cambria" w:hAnsi="Cambria"/>
          <w:color w:val="000000" w:themeColor="text1"/>
          <w:spacing w:val="2"/>
          <w:shd w:val="clear" w:color="auto" w:fill="FFFFFF"/>
        </w:rPr>
        <w:t>En el Concepto 11620 de agosto 21 de 2025 la DIAN dice lo siguiente:</w:t>
      </w:r>
    </w:p>
    <w:p w:rsidR="00FE03EC" w:rsidRDefault="00FE03EC">
      <w:pPr>
        <w:rPr>
          <w:rFonts w:ascii="Cambria" w:hAnsi="Cambria"/>
          <w:color w:val="000000" w:themeColor="text1"/>
          <w:spacing w:val="2"/>
          <w:shd w:val="clear" w:color="auto" w:fill="FFFFFF"/>
        </w:rPr>
      </w:pPr>
    </w:p>
    <w:p w:rsidR="00FE03EC" w:rsidRPr="00FE03EC" w:rsidRDefault="00FE03EC" w:rsidP="00FE03EC">
      <w:pPr>
        <w:rPr>
          <w:rFonts w:ascii="Cambria" w:hAnsi="Cambria"/>
          <w:i/>
          <w:iCs/>
          <w:color w:val="0070C0"/>
          <w:spacing w:val="2"/>
          <w:shd w:val="clear" w:color="auto" w:fill="FFFFFF"/>
        </w:rPr>
      </w:pPr>
      <w:r w:rsidRPr="00FE03EC">
        <w:rPr>
          <w:rFonts w:ascii="Cambria" w:hAnsi="Cambria"/>
          <w:i/>
          <w:iCs/>
          <w:color w:val="0070C0"/>
          <w:spacing w:val="2"/>
          <w:shd w:val="clear" w:color="auto" w:fill="FFFFFF"/>
        </w:rPr>
        <w:t>“…el Concepto Unificado No. </w:t>
      </w:r>
      <w:hyperlink r:id="rId13" w:anchor="0" w:history="1">
        <w:r w:rsidRPr="00FE03EC">
          <w:rPr>
            <w:rFonts w:ascii="Cambria" w:hAnsi="Cambria"/>
            <w:i/>
            <w:iCs/>
            <w:color w:val="0070C0"/>
            <w:shd w:val="clear" w:color="auto" w:fill="FFFFFF"/>
          </w:rPr>
          <w:t>0106</w:t>
        </w:r>
      </w:hyperlink>
      <w:r w:rsidRPr="00FE03EC">
        <w:rPr>
          <w:rFonts w:ascii="Cambria" w:hAnsi="Cambria"/>
          <w:i/>
          <w:iCs/>
          <w:color w:val="0070C0"/>
          <w:spacing w:val="2"/>
          <w:shd w:val="clear" w:color="auto" w:fill="FFFFFF"/>
        </w:rPr>
        <w:t> de 2022, en su numeral 3.3.5. precisó que existen dos tipos de extractos válidos como soportes fiscales:</w:t>
      </w:r>
    </w:p>
    <w:p w:rsidR="00FE03EC" w:rsidRPr="00FE03EC" w:rsidRDefault="00FE03EC" w:rsidP="00FE03EC">
      <w:pPr>
        <w:rPr>
          <w:rFonts w:ascii="Cambria" w:hAnsi="Cambria"/>
          <w:i/>
          <w:iCs/>
          <w:color w:val="0070C0"/>
          <w:spacing w:val="2"/>
          <w:shd w:val="clear" w:color="auto" w:fill="FFFFFF"/>
        </w:rPr>
      </w:pPr>
      <w:r>
        <w:rPr>
          <w:rFonts w:ascii="Cambria" w:hAnsi="Cambria"/>
          <w:i/>
          <w:iCs/>
          <w:color w:val="0070C0"/>
          <w:spacing w:val="2"/>
          <w:shd w:val="clear" w:color="auto" w:fill="FFFFFF"/>
        </w:rPr>
        <w:t>1.</w:t>
      </w:r>
      <w:r w:rsidRPr="00FE03EC">
        <w:rPr>
          <w:rFonts w:ascii="Cambria" w:hAnsi="Cambria"/>
          <w:i/>
          <w:iCs/>
          <w:color w:val="0070C0"/>
          <w:spacing w:val="2"/>
          <w:shd w:val="clear" w:color="auto" w:fill="FFFFFF"/>
        </w:rPr>
        <w:t>El extracto como documento equivalente a la factura de venta, previsto en el numeral 4 del artículo </w:t>
      </w:r>
      <w:hyperlink r:id="rId14" w:anchor="1.6.1.4.6" w:history="1">
        <w:r w:rsidRPr="00FE03EC">
          <w:rPr>
            <w:rFonts w:ascii="Cambria" w:hAnsi="Cambria"/>
            <w:i/>
            <w:iCs/>
            <w:color w:val="0070C0"/>
            <w:shd w:val="clear" w:color="auto" w:fill="FFFFFF"/>
          </w:rPr>
          <w:t>1.6.1.4.6</w:t>
        </w:r>
      </w:hyperlink>
      <w:r w:rsidRPr="00FE03EC">
        <w:rPr>
          <w:rFonts w:ascii="Cambria" w:hAnsi="Cambria"/>
          <w:i/>
          <w:iCs/>
          <w:color w:val="0070C0"/>
          <w:spacing w:val="2"/>
          <w:shd w:val="clear" w:color="auto" w:fill="FFFFFF"/>
        </w:rPr>
        <w:t> del Decreto 1625 de 2016 y en el artículo </w:t>
      </w:r>
      <w:hyperlink r:id="rId15" w:anchor="4" w:history="1">
        <w:r w:rsidRPr="00FE03EC">
          <w:rPr>
            <w:rFonts w:ascii="Cambria" w:hAnsi="Cambria"/>
            <w:i/>
            <w:iCs/>
            <w:color w:val="0070C0"/>
            <w:shd w:val="clear" w:color="auto" w:fill="FFFFFF"/>
          </w:rPr>
          <w:t>4</w:t>
        </w:r>
      </w:hyperlink>
      <w:r w:rsidRPr="00FE03EC">
        <w:rPr>
          <w:rFonts w:ascii="Cambria" w:hAnsi="Cambria"/>
          <w:i/>
          <w:iCs/>
          <w:color w:val="0070C0"/>
          <w:spacing w:val="2"/>
          <w:shd w:val="clear" w:color="auto" w:fill="FFFFFF"/>
        </w:rPr>
        <w:t> de la Resolución DIAN 165 de 2023. Este aplica a ciertos sujetos obligados a facturar (fiduciarias, fondos, etc.), y su correcta expedición suple la factura de venta.</w:t>
      </w:r>
    </w:p>
    <w:p w:rsidR="00FE03EC" w:rsidRDefault="00FE03EC" w:rsidP="00FE03EC">
      <w:pPr>
        <w:rPr>
          <w:rFonts w:ascii="Cambria" w:hAnsi="Cambria"/>
          <w:i/>
          <w:iCs/>
          <w:color w:val="0070C0"/>
          <w:spacing w:val="2"/>
          <w:shd w:val="clear" w:color="auto" w:fill="FFFFFF"/>
        </w:rPr>
      </w:pPr>
    </w:p>
    <w:p w:rsidR="00FE03EC" w:rsidRPr="00FE03EC" w:rsidRDefault="00FE03EC" w:rsidP="00FE03EC">
      <w:pPr>
        <w:rPr>
          <w:rFonts w:ascii="Cambria" w:hAnsi="Cambria"/>
          <w:i/>
          <w:iCs/>
          <w:color w:val="0070C0"/>
          <w:spacing w:val="2"/>
          <w:shd w:val="clear" w:color="auto" w:fill="FFFFFF"/>
        </w:rPr>
      </w:pPr>
      <w:r>
        <w:rPr>
          <w:rFonts w:ascii="Cambria" w:hAnsi="Cambria"/>
          <w:i/>
          <w:iCs/>
          <w:color w:val="0070C0"/>
          <w:spacing w:val="2"/>
          <w:shd w:val="clear" w:color="auto" w:fill="FFFFFF"/>
        </w:rPr>
        <w:t>2.</w:t>
      </w:r>
      <w:r w:rsidRPr="00FE03EC">
        <w:rPr>
          <w:rFonts w:ascii="Cambria" w:hAnsi="Cambria"/>
          <w:i/>
          <w:iCs/>
          <w:color w:val="0070C0"/>
          <w:spacing w:val="2"/>
          <w:shd w:val="clear" w:color="auto" w:fill="FFFFFF"/>
        </w:rPr>
        <w:t> El extracto expedido por los bancos, corporaciones financieras v compañías de financiamiento, como sujetos no obligados a facturar, conforme al inciso 1o del parágrafo 1o del artículo </w:t>
      </w:r>
      <w:hyperlink r:id="rId16" w:anchor="1.6.1.4.12" w:history="1">
        <w:r w:rsidRPr="00FE03EC">
          <w:rPr>
            <w:rFonts w:ascii="Cambria" w:hAnsi="Cambria"/>
            <w:i/>
            <w:iCs/>
            <w:color w:val="0070C0"/>
            <w:shd w:val="clear" w:color="auto" w:fill="FFFFFF"/>
          </w:rPr>
          <w:t>1.6.1.4.12</w:t>
        </w:r>
      </w:hyperlink>
      <w:r w:rsidRPr="00FE03EC">
        <w:rPr>
          <w:rFonts w:ascii="Cambria" w:hAnsi="Cambria"/>
          <w:i/>
          <w:iCs/>
          <w:color w:val="0070C0"/>
          <w:spacing w:val="2"/>
          <w:shd w:val="clear" w:color="auto" w:fill="FFFFFF"/>
        </w:rPr>
        <w:t> y al artículo </w:t>
      </w:r>
      <w:hyperlink r:id="rId17" w:anchor="1.3.1.7.8" w:history="1">
        <w:r w:rsidRPr="00FE03EC">
          <w:rPr>
            <w:rFonts w:ascii="Cambria" w:hAnsi="Cambria"/>
            <w:i/>
            <w:iCs/>
            <w:color w:val="0070C0"/>
            <w:shd w:val="clear" w:color="auto" w:fill="FFFFFF"/>
          </w:rPr>
          <w:t>1.3.1.7.8</w:t>
        </w:r>
      </w:hyperlink>
      <w:r w:rsidRPr="00FE03EC">
        <w:rPr>
          <w:rFonts w:ascii="Cambria" w:hAnsi="Cambria"/>
          <w:i/>
          <w:iCs/>
          <w:color w:val="0070C0"/>
          <w:spacing w:val="2"/>
          <w:shd w:val="clear" w:color="auto" w:fill="FFFFFF"/>
        </w:rPr>
        <w:t> del Decreto 1625 de 2016. El cual constituye documento soporte válido por sí mismo, siempre que cumpla los requisitos exigidos, en particular la discriminación del IVA en los servicios gravados cuando el usuario lo solicite.</w:t>
      </w:r>
    </w:p>
    <w:p w:rsidR="00FE03EC" w:rsidRDefault="00FE03EC" w:rsidP="00FE03EC">
      <w:pPr>
        <w:rPr>
          <w:rFonts w:ascii="Cambria" w:hAnsi="Cambria"/>
          <w:i/>
          <w:iCs/>
          <w:color w:val="0070C0"/>
          <w:spacing w:val="2"/>
          <w:shd w:val="clear" w:color="auto" w:fill="FFFFFF"/>
        </w:rPr>
      </w:pPr>
    </w:p>
    <w:p w:rsidR="00FE03EC" w:rsidRDefault="00FE03EC" w:rsidP="00FE03EC">
      <w:pPr>
        <w:rPr>
          <w:rFonts w:ascii="Cambria" w:hAnsi="Cambria"/>
          <w:i/>
          <w:iCs/>
          <w:color w:val="0070C0"/>
          <w:spacing w:val="2"/>
          <w:shd w:val="clear" w:color="auto" w:fill="FFFFFF"/>
        </w:rPr>
      </w:pPr>
      <w:r w:rsidRPr="00FE03EC">
        <w:rPr>
          <w:rFonts w:ascii="Cambria" w:hAnsi="Cambria"/>
          <w:i/>
          <w:iCs/>
          <w:color w:val="0070C0"/>
          <w:spacing w:val="2"/>
          <w:shd w:val="clear" w:color="auto" w:fill="FFFFFF"/>
        </w:rPr>
        <w:t>Esta misma diferenciación es reconocida en el numeral 3.3.5.1., del mismo concepto que resolvió la pregunta ¿El extracto es soporte de costos, deducciones y descontables en el impuesto sobre la renta y complementarios?, a lo cual respondió, luego de señalar las normas aplicables lo siguiente:</w:t>
      </w:r>
    </w:p>
    <w:p w:rsidR="00FE03EC" w:rsidRPr="00FE03EC" w:rsidRDefault="00FE03EC" w:rsidP="00FE03EC">
      <w:pPr>
        <w:rPr>
          <w:rFonts w:ascii="Cambria" w:hAnsi="Cambria"/>
          <w:i/>
          <w:iCs/>
          <w:color w:val="0070C0"/>
          <w:spacing w:val="2"/>
          <w:shd w:val="clear" w:color="auto" w:fill="FFFFFF"/>
        </w:rPr>
      </w:pPr>
    </w:p>
    <w:p w:rsidR="00FE03EC" w:rsidRPr="00FE03EC" w:rsidRDefault="00FE03EC" w:rsidP="00FE03EC">
      <w:pPr>
        <w:rPr>
          <w:rFonts w:ascii="Cambria" w:hAnsi="Cambria"/>
          <w:i/>
          <w:iCs/>
          <w:color w:val="0070C0"/>
          <w:spacing w:val="2"/>
          <w:shd w:val="clear" w:color="auto" w:fill="FFFFFF"/>
        </w:rPr>
      </w:pPr>
      <w:r w:rsidRPr="00FE03EC">
        <w:rPr>
          <w:rFonts w:ascii="Cambria" w:hAnsi="Cambria"/>
          <w:i/>
          <w:iCs/>
          <w:color w:val="0070C0"/>
          <w:shd w:val="clear" w:color="auto" w:fill="FFFFFF"/>
        </w:rPr>
        <w:t xml:space="preserve">"(...) solamente los sujetos señalados en el numeral </w:t>
      </w:r>
      <w:r>
        <w:rPr>
          <w:rFonts w:ascii="Cambria" w:hAnsi="Cambria"/>
          <w:i/>
          <w:iCs/>
          <w:color w:val="0070C0"/>
          <w:shd w:val="clear" w:color="auto" w:fill="FFFFFF"/>
        </w:rPr>
        <w:t>1</w:t>
      </w:r>
      <w:r w:rsidRPr="00FE03EC">
        <w:rPr>
          <w:rFonts w:ascii="Cambria" w:hAnsi="Cambria"/>
          <w:i/>
          <w:iCs/>
          <w:color w:val="0070C0"/>
          <w:shd w:val="clear" w:color="auto" w:fill="FFFFFF"/>
        </w:rPr>
        <w:t xml:space="preserve"> del artículo </w:t>
      </w:r>
      <w:hyperlink r:id="rId18" w:anchor="1.6.1.4.3" w:history="1">
        <w:r w:rsidRPr="00FE03EC">
          <w:rPr>
            <w:rFonts w:ascii="Cambria" w:hAnsi="Cambria"/>
            <w:i/>
            <w:iCs/>
            <w:color w:val="0070C0"/>
            <w:shd w:val="clear" w:color="auto" w:fill="FFFFFF"/>
          </w:rPr>
          <w:t>1.6.1.4.3</w:t>
        </w:r>
      </w:hyperlink>
      <w:r w:rsidRPr="00FE03EC">
        <w:rPr>
          <w:rFonts w:ascii="Cambria" w:hAnsi="Cambria"/>
          <w:i/>
          <w:iCs/>
          <w:color w:val="0070C0"/>
          <w:shd w:val="clear" w:color="auto" w:fill="FFFFFF"/>
        </w:rPr>
        <w:t>., en concordancia con el artículo </w:t>
      </w:r>
      <w:hyperlink r:id="rId19" w:anchor="1.3.1.7.8" w:history="1">
        <w:r w:rsidRPr="00FE03EC">
          <w:rPr>
            <w:rFonts w:ascii="Cambria" w:hAnsi="Cambria"/>
            <w:i/>
            <w:iCs/>
            <w:color w:val="0070C0"/>
            <w:shd w:val="clear" w:color="auto" w:fill="FFFFFF"/>
          </w:rPr>
          <w:t>1.3.1.7.8</w:t>
        </w:r>
      </w:hyperlink>
      <w:r w:rsidRPr="00FE03EC">
        <w:rPr>
          <w:rFonts w:ascii="Cambria" w:hAnsi="Cambria"/>
          <w:i/>
          <w:iCs/>
          <w:color w:val="0070C0"/>
          <w:shd w:val="clear" w:color="auto" w:fill="FFFFFF"/>
        </w:rPr>
        <w:t>. del Decreto 1625 de 2016 y en el numeral 2o del artículo </w:t>
      </w:r>
      <w:hyperlink r:id="rId20" w:anchor="1.6.1.4.3" w:history="1">
        <w:r w:rsidRPr="00FE03EC">
          <w:rPr>
            <w:rFonts w:ascii="Cambria" w:hAnsi="Cambria"/>
            <w:i/>
            <w:iCs/>
            <w:color w:val="0070C0"/>
            <w:shd w:val="clear" w:color="auto" w:fill="FFFFFF"/>
          </w:rPr>
          <w:t>1.6.1.4.3</w:t>
        </w:r>
      </w:hyperlink>
      <w:r w:rsidRPr="00FE03EC">
        <w:rPr>
          <w:rFonts w:ascii="Cambria" w:hAnsi="Cambria"/>
          <w:i/>
          <w:iCs/>
          <w:color w:val="0070C0"/>
          <w:shd w:val="clear" w:color="auto" w:fill="FFFFFF"/>
        </w:rPr>
        <w:t>. del citado decreto, podrán generar el extracto como documento soporte para probar la transacción que da lugar a costos, deducciones o impuestos descontables de conformidad con el artículo </w:t>
      </w:r>
      <w:hyperlink r:id="rId21" w:anchor="771-2" w:history="1">
        <w:r w:rsidRPr="00FE03EC">
          <w:rPr>
            <w:rFonts w:ascii="Cambria" w:hAnsi="Cambria"/>
            <w:i/>
            <w:iCs/>
            <w:color w:val="0070C0"/>
            <w:shd w:val="clear" w:color="auto" w:fill="FFFFFF"/>
          </w:rPr>
          <w:t>771-2</w:t>
        </w:r>
      </w:hyperlink>
      <w:r w:rsidRPr="00FE03EC">
        <w:rPr>
          <w:rFonts w:ascii="Cambria" w:hAnsi="Cambria"/>
          <w:i/>
          <w:iCs/>
          <w:color w:val="0070C0"/>
          <w:shd w:val="clear" w:color="auto" w:fill="FFFFFF"/>
        </w:rPr>
        <w:t> del Estatuto Tributario, siempre y cuando se cumpla con los demás requisitos establecidos en la norma.</w:t>
      </w:r>
    </w:p>
    <w:p w:rsidR="00FE03EC" w:rsidRDefault="00FE03EC" w:rsidP="00FE03EC">
      <w:pPr>
        <w:rPr>
          <w:rFonts w:ascii="Cambria" w:hAnsi="Cambria"/>
          <w:i/>
          <w:iCs/>
          <w:color w:val="0070C0"/>
          <w:shd w:val="clear" w:color="auto" w:fill="FFFFFF"/>
        </w:rPr>
      </w:pPr>
    </w:p>
    <w:p w:rsidR="00FE03EC" w:rsidRDefault="00FE03EC" w:rsidP="00FE03EC">
      <w:pPr>
        <w:rPr>
          <w:rFonts w:ascii="Cambria" w:hAnsi="Cambria"/>
          <w:i/>
          <w:iCs/>
          <w:color w:val="0070C0"/>
          <w:shd w:val="clear" w:color="auto" w:fill="FFFFFF"/>
        </w:rPr>
      </w:pPr>
      <w:r w:rsidRPr="00FE03EC">
        <w:rPr>
          <w:rFonts w:ascii="Cambria" w:hAnsi="Cambria"/>
          <w:i/>
          <w:iCs/>
          <w:color w:val="0070C0"/>
          <w:shd w:val="clear" w:color="auto" w:fill="FFFFFF"/>
        </w:rPr>
        <w:t>De otra parte, tratándose del documento equivalente a la factura de venta, de que trata el numeral 4 de los artículos </w:t>
      </w:r>
      <w:hyperlink r:id="rId22" w:anchor="1.6.1.4.6" w:history="1">
        <w:r w:rsidRPr="00FE03EC">
          <w:rPr>
            <w:rFonts w:ascii="Cambria" w:hAnsi="Cambria"/>
            <w:i/>
            <w:iCs/>
            <w:color w:val="0070C0"/>
            <w:shd w:val="clear" w:color="auto" w:fill="FFFFFF"/>
          </w:rPr>
          <w:t>1.6.1.4.6</w:t>
        </w:r>
      </w:hyperlink>
      <w:r w:rsidRPr="00FE03EC">
        <w:rPr>
          <w:rFonts w:ascii="Cambria" w:hAnsi="Cambria"/>
          <w:i/>
          <w:iCs/>
          <w:color w:val="0070C0"/>
          <w:shd w:val="clear" w:color="auto" w:fill="FFFFFF"/>
        </w:rPr>
        <w:t>. del Decreto 1625 y </w:t>
      </w:r>
      <w:hyperlink r:id="rId23" w:anchor="13" w:history="1">
        <w:r w:rsidRPr="00FE03EC">
          <w:rPr>
            <w:rFonts w:ascii="Cambria" w:hAnsi="Cambria"/>
            <w:i/>
            <w:iCs/>
            <w:color w:val="0070C0"/>
            <w:shd w:val="clear" w:color="auto" w:fill="FFFFFF"/>
          </w:rPr>
          <w:t>13</w:t>
        </w:r>
      </w:hyperlink>
      <w:r w:rsidRPr="00FE03EC">
        <w:rPr>
          <w:rFonts w:ascii="Cambria" w:hAnsi="Cambria"/>
          <w:i/>
          <w:iCs/>
          <w:color w:val="0070C0"/>
          <w:shd w:val="clear" w:color="auto" w:fill="FFFFFF"/>
        </w:rPr>
        <w:t> de la Resolución DIAN 000042 de 2020, denominado "extracto", éste podrá ser generado y expedido únicamente por los sujetos dispuestos en la misma norma.</w:t>
      </w:r>
    </w:p>
    <w:p w:rsidR="00FE03EC" w:rsidRPr="00FE03EC" w:rsidRDefault="00FE03EC" w:rsidP="00FE03EC">
      <w:pPr>
        <w:rPr>
          <w:rFonts w:ascii="Cambria" w:hAnsi="Cambria"/>
          <w:i/>
          <w:iCs/>
          <w:color w:val="0070C0"/>
          <w:spacing w:val="2"/>
          <w:shd w:val="clear" w:color="auto" w:fill="FFFFFF"/>
        </w:rPr>
      </w:pPr>
    </w:p>
    <w:p w:rsidR="00FE03EC" w:rsidRPr="00FE03EC" w:rsidRDefault="00FE03EC" w:rsidP="00FE03EC">
      <w:pPr>
        <w:rPr>
          <w:rFonts w:ascii="Cambria" w:hAnsi="Cambria"/>
          <w:i/>
          <w:iCs/>
          <w:color w:val="0070C0"/>
          <w:spacing w:val="2"/>
          <w:shd w:val="clear" w:color="auto" w:fill="FFFFFF"/>
        </w:rPr>
      </w:pPr>
      <w:r w:rsidRPr="00FE03EC">
        <w:rPr>
          <w:rFonts w:ascii="Cambria" w:hAnsi="Cambria"/>
          <w:i/>
          <w:iCs/>
          <w:color w:val="0070C0"/>
          <w:shd w:val="clear" w:color="auto" w:fill="FFFFFF"/>
        </w:rPr>
        <w:t>Por lo cual, su correcta expedición suple la obligación de facturar las operaciones y se considera soporte de costos, deducciones e impuestos descontables, de conformidad con lo dispuesto en los artículos </w:t>
      </w:r>
      <w:hyperlink r:id="rId24" w:anchor="616-1" w:history="1">
        <w:r w:rsidRPr="00FE03EC">
          <w:rPr>
            <w:rFonts w:ascii="Cambria" w:hAnsi="Cambria"/>
            <w:i/>
            <w:iCs/>
            <w:color w:val="0070C0"/>
            <w:shd w:val="clear" w:color="auto" w:fill="FFFFFF"/>
          </w:rPr>
          <w:t>616-1</w:t>
        </w:r>
      </w:hyperlink>
      <w:r w:rsidRPr="00FE03EC">
        <w:rPr>
          <w:rFonts w:ascii="Cambria" w:hAnsi="Cambria"/>
          <w:i/>
          <w:iCs/>
          <w:color w:val="0070C0"/>
          <w:shd w:val="clear" w:color="auto" w:fill="FFFFFF"/>
        </w:rPr>
        <w:t> y </w:t>
      </w:r>
      <w:hyperlink r:id="rId25" w:anchor="771-2" w:history="1">
        <w:r w:rsidRPr="00FE03EC">
          <w:rPr>
            <w:rFonts w:ascii="Cambria" w:hAnsi="Cambria"/>
            <w:i/>
            <w:iCs/>
            <w:color w:val="0070C0"/>
            <w:shd w:val="clear" w:color="auto" w:fill="FFFFFF"/>
          </w:rPr>
          <w:t>771-2</w:t>
        </w:r>
      </w:hyperlink>
      <w:r w:rsidRPr="00FE03EC">
        <w:rPr>
          <w:rFonts w:ascii="Cambria" w:hAnsi="Cambria"/>
          <w:i/>
          <w:iCs/>
          <w:color w:val="0070C0"/>
          <w:shd w:val="clear" w:color="auto" w:fill="FFFFFF"/>
        </w:rPr>
        <w:t> del Estatuto Tributario".</w:t>
      </w:r>
    </w:p>
    <w:p w:rsidR="00FE03EC" w:rsidRPr="00FE03EC" w:rsidRDefault="00FE03EC">
      <w:pPr>
        <w:rPr>
          <w:rFonts w:ascii="Cambria" w:hAnsi="Cambria"/>
          <w:i/>
          <w:iCs/>
          <w:color w:val="0070C0"/>
          <w:spacing w:val="2"/>
          <w:shd w:val="clear" w:color="auto" w:fill="FFFFFF"/>
        </w:rPr>
      </w:pPr>
    </w:p>
    <w:p w:rsidR="00B273AB" w:rsidRDefault="00FE03EC">
      <w:pPr>
        <w:rPr>
          <w:rFonts w:ascii="Cambria" w:hAnsi="Cambria"/>
          <w:color w:val="000000" w:themeColor="text1"/>
          <w:spacing w:val="2"/>
          <w:shd w:val="clear" w:color="auto" w:fill="FFFFFF"/>
        </w:rPr>
      </w:pPr>
      <w:r>
        <w:rPr>
          <w:rFonts w:ascii="Cambria" w:hAnsi="Cambria"/>
          <w:color w:val="000000" w:themeColor="text1"/>
          <w:spacing w:val="2"/>
          <w:shd w:val="clear" w:color="auto" w:fill="FFFFFF"/>
        </w:rPr>
        <w:t>Sabiendo entonces que sí existen dos tipos de “extractos”, la DIAN llegó a su la siguiente conclusión en su Concepto 11620 de agosto 21 de 2025 (los subrayados son nuestros)</w:t>
      </w:r>
    </w:p>
    <w:p w:rsidR="00FE03EC" w:rsidRDefault="00FE03EC">
      <w:pPr>
        <w:rPr>
          <w:rFonts w:ascii="Cambria" w:hAnsi="Cambria"/>
          <w:color w:val="000000" w:themeColor="text1"/>
          <w:spacing w:val="2"/>
          <w:shd w:val="clear" w:color="auto" w:fill="FFFFFF"/>
        </w:rPr>
      </w:pPr>
    </w:p>
    <w:p w:rsidR="00FE03EC" w:rsidRDefault="00FE03EC">
      <w:pPr>
        <w:rPr>
          <w:rFonts w:ascii="Cambria" w:hAnsi="Cambria"/>
          <w:color w:val="000000" w:themeColor="text1"/>
          <w:shd w:val="clear" w:color="auto" w:fill="FFFFFF"/>
        </w:rPr>
      </w:pPr>
      <w:r>
        <w:rPr>
          <w:rFonts w:ascii="Roboto Condensed" w:hAnsi="Roboto Condensed"/>
          <w:color w:val="343536"/>
          <w:spacing w:val="2"/>
          <w:sz w:val="27"/>
          <w:szCs w:val="27"/>
          <w:shd w:val="clear" w:color="auto" w:fill="FFFFFF"/>
        </w:rPr>
        <w:t>“</w:t>
      </w:r>
      <w:r w:rsidRPr="00FE03EC">
        <w:rPr>
          <w:rFonts w:ascii="Cambria" w:hAnsi="Cambria"/>
          <w:i/>
          <w:iCs/>
          <w:color w:val="0070C0"/>
          <w:shd w:val="clear" w:color="auto" w:fill="FFFFFF"/>
        </w:rPr>
        <w:t xml:space="preserve">En consecuencia, se aclara al consultante que la doctrina vigente reconoce expresamente que </w:t>
      </w:r>
      <w:r w:rsidRPr="00FE03EC">
        <w:rPr>
          <w:rFonts w:ascii="Cambria" w:hAnsi="Cambria"/>
          <w:b/>
          <w:bCs/>
          <w:i/>
          <w:iCs/>
          <w:color w:val="0070C0"/>
          <w:u w:val="single"/>
          <w:shd w:val="clear" w:color="auto" w:fill="FFFFFF"/>
        </w:rPr>
        <w:t xml:space="preserve">los extractos </w:t>
      </w:r>
      <w:r w:rsidRPr="00FE03EC">
        <w:rPr>
          <w:rFonts w:ascii="Cambria" w:hAnsi="Cambria"/>
          <w:i/>
          <w:iCs/>
          <w:color w:val="0070C0"/>
          <w:shd w:val="clear" w:color="auto" w:fill="FFFFFF"/>
        </w:rPr>
        <w:t xml:space="preserve">emitidos por bancos, corporaciones financieras y </w:t>
      </w:r>
      <w:r w:rsidRPr="00FE03EC">
        <w:rPr>
          <w:rFonts w:ascii="Cambria" w:hAnsi="Cambria"/>
          <w:i/>
          <w:iCs/>
          <w:color w:val="0070C0"/>
          <w:shd w:val="clear" w:color="auto" w:fill="FFFFFF"/>
        </w:rPr>
        <w:lastRenderedPageBreak/>
        <w:t xml:space="preserve">compañías de financiamiento son documentos soporte suficientes en materia tributaria, </w:t>
      </w:r>
      <w:r w:rsidRPr="00FE03EC">
        <w:rPr>
          <w:rFonts w:ascii="Cambria" w:hAnsi="Cambria"/>
          <w:b/>
          <w:bCs/>
          <w:i/>
          <w:iCs/>
          <w:color w:val="0070C0"/>
          <w:u w:val="single"/>
          <w:shd w:val="clear" w:color="auto" w:fill="FFFFFF"/>
        </w:rPr>
        <w:t>sin que deba elaborarse adicionalmente el documento soporte en adquisiciones a no obligados (DSNO) siempre que sean expedidos por los sujetos autorizados legalmente para ello</w:t>
      </w:r>
      <w:r w:rsidRPr="00FE03EC">
        <w:rPr>
          <w:rFonts w:ascii="Cambria" w:hAnsi="Cambria"/>
          <w:i/>
          <w:iCs/>
          <w:color w:val="0070C0"/>
          <w:shd w:val="clear" w:color="auto" w:fill="FFFFFF"/>
        </w:rPr>
        <w:t>.</w:t>
      </w:r>
      <w:r>
        <w:rPr>
          <w:rFonts w:ascii="Cambria" w:hAnsi="Cambria"/>
          <w:i/>
          <w:iCs/>
          <w:color w:val="0070C0"/>
          <w:shd w:val="clear" w:color="auto" w:fill="FFFFFF"/>
        </w:rPr>
        <w:t>”</w:t>
      </w:r>
    </w:p>
    <w:p w:rsidR="00FE03EC" w:rsidRDefault="00FE03EC">
      <w:pPr>
        <w:rPr>
          <w:rFonts w:ascii="Cambria" w:hAnsi="Cambria"/>
          <w:color w:val="000000" w:themeColor="text1"/>
          <w:shd w:val="clear" w:color="auto" w:fill="FFFFFF"/>
        </w:rPr>
      </w:pPr>
    </w:p>
    <w:p w:rsidR="00FE03EC" w:rsidRDefault="00FE03EC">
      <w:pPr>
        <w:rPr>
          <w:rFonts w:ascii="Cambria" w:hAnsi="Cambria"/>
          <w:color w:val="000000" w:themeColor="text1"/>
          <w:shd w:val="clear" w:color="auto" w:fill="FFFFFF"/>
        </w:rPr>
      </w:pPr>
      <w:r>
        <w:rPr>
          <w:rFonts w:ascii="Cambria" w:hAnsi="Cambria"/>
          <w:color w:val="000000" w:themeColor="text1"/>
          <w:shd w:val="clear" w:color="auto" w:fill="FFFFFF"/>
        </w:rPr>
        <w:t xml:space="preserve">En vista de lo anterior, se entiende que </w:t>
      </w:r>
      <w:r w:rsidR="00393293">
        <w:rPr>
          <w:rFonts w:ascii="Cambria" w:hAnsi="Cambria"/>
          <w:color w:val="000000" w:themeColor="text1"/>
          <w:shd w:val="clear" w:color="auto" w:fill="FFFFFF"/>
        </w:rPr>
        <w:t xml:space="preserve">cualquier </w:t>
      </w:r>
      <w:r>
        <w:rPr>
          <w:rFonts w:ascii="Cambria" w:hAnsi="Cambria"/>
          <w:color w:val="000000" w:themeColor="text1"/>
          <w:shd w:val="clear" w:color="auto" w:fill="FFFFFF"/>
        </w:rPr>
        <w:t>documento</w:t>
      </w:r>
      <w:r w:rsidR="00393293">
        <w:rPr>
          <w:rFonts w:ascii="Cambria" w:hAnsi="Cambria"/>
          <w:color w:val="000000" w:themeColor="text1"/>
          <w:shd w:val="clear" w:color="auto" w:fill="FFFFFF"/>
        </w:rPr>
        <w:t xml:space="preserve"> </w:t>
      </w:r>
      <w:r>
        <w:rPr>
          <w:rFonts w:ascii="Cambria" w:hAnsi="Cambria"/>
          <w:color w:val="000000" w:themeColor="text1"/>
          <w:shd w:val="clear" w:color="auto" w:fill="FFFFFF"/>
        </w:rPr>
        <w:t xml:space="preserve">que expidan las entidades financieras para cobrar </w:t>
      </w:r>
      <w:r w:rsidR="00393293">
        <w:rPr>
          <w:rFonts w:ascii="Cambria" w:hAnsi="Cambria"/>
          <w:color w:val="000000" w:themeColor="text1"/>
          <w:shd w:val="clear" w:color="auto" w:fill="FFFFFF"/>
        </w:rPr>
        <w:t>sus valores por intereses, o comisiones gravadas con IVA, y que normalmente sí se siguen llamando “extractos” (pero sin importar que algunas entidades la hayan renombrado como “estados de cuenta” y otros similares), sí serán aceptados por la DIAN para soportar los gastos en que se incurra con tales entidades sin que deba estarse elaborando adicionalmente un “documento equivalente en adquisiciones a los no obligados a facturar”</w:t>
      </w:r>
    </w:p>
    <w:p w:rsidR="00393293" w:rsidRDefault="00393293">
      <w:pPr>
        <w:pBdr>
          <w:bottom w:val="single" w:sz="12" w:space="1" w:color="auto"/>
        </w:pBdr>
        <w:rPr>
          <w:rFonts w:ascii="Cambria" w:hAnsi="Cambria"/>
          <w:color w:val="000000" w:themeColor="text1"/>
          <w:shd w:val="clear" w:color="auto" w:fill="FFFFFF"/>
        </w:rPr>
      </w:pPr>
    </w:p>
    <w:p w:rsidR="00393293" w:rsidRDefault="00393293">
      <w:pPr>
        <w:rPr>
          <w:rFonts w:ascii="Cambria" w:hAnsi="Cambria"/>
          <w:color w:val="000000" w:themeColor="text1"/>
          <w:shd w:val="clear" w:color="auto" w:fill="FFFFFF"/>
        </w:rPr>
      </w:pPr>
    </w:p>
    <w:p w:rsidR="00D64917" w:rsidRDefault="00000000" w:rsidP="00D64917">
      <w:hyperlink r:id="rId26" w:history="1">
        <w:r w:rsidR="00D64917" w:rsidRPr="00D64917">
          <w:rPr>
            <w:rStyle w:val="Hipervnculo"/>
          </w:rPr>
          <w:t>Sistema de facturación electrónica y documentos equivalentes: Dian expide nueva resolución</w:t>
        </w:r>
      </w:hyperlink>
    </w:p>
    <w:p w:rsidR="00D64917" w:rsidRDefault="00D64917" w:rsidP="00D64917"/>
    <w:p w:rsidR="00D64917" w:rsidRDefault="00000000" w:rsidP="00D64917">
      <w:hyperlink r:id="rId27" w:history="1">
        <w:r w:rsidR="00D64917" w:rsidRPr="00D64917">
          <w:rPr>
            <w:rStyle w:val="Hipervnculo"/>
          </w:rPr>
          <w:t>Facturación electrónica: Dian estableció los únicos 3 datos que se pueden solicitar a los clientes</w:t>
        </w:r>
      </w:hyperlink>
    </w:p>
    <w:p w:rsidR="00D64917" w:rsidRDefault="00D64917" w:rsidP="00D64917"/>
    <w:p w:rsidR="00D64917" w:rsidRPr="00FE03EC" w:rsidRDefault="00D64917">
      <w:pPr>
        <w:rPr>
          <w:rFonts w:ascii="Cambria" w:hAnsi="Cambria"/>
          <w:color w:val="000000" w:themeColor="text1"/>
          <w:shd w:val="clear" w:color="auto" w:fill="FFFFFF"/>
        </w:rPr>
      </w:pPr>
    </w:p>
    <w:sectPr w:rsidR="00D64917" w:rsidRPr="00FE03E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Condensed">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AB"/>
    <w:rsid w:val="001620C2"/>
    <w:rsid w:val="00393293"/>
    <w:rsid w:val="00995AC4"/>
    <w:rsid w:val="00A568B0"/>
    <w:rsid w:val="00B273AB"/>
    <w:rsid w:val="00C67F8B"/>
    <w:rsid w:val="00D64917"/>
    <w:rsid w:val="00E463B7"/>
    <w:rsid w:val="00FE03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D5482"/>
  <w15:chartTrackingRefBased/>
  <w15:docId w15:val="{2AFC9CFF-8D6C-814C-A762-4FB92225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9329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3932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463B7"/>
    <w:rPr>
      <w:color w:val="0563C1" w:themeColor="hyperlink"/>
      <w:u w:val="single"/>
    </w:rPr>
  </w:style>
  <w:style w:type="character" w:styleId="Mencinsinresolver">
    <w:name w:val="Unresolved Mention"/>
    <w:basedOn w:val="Fuentedeprrafopredeter"/>
    <w:uiPriority w:val="99"/>
    <w:semiHidden/>
    <w:unhideWhenUsed/>
    <w:rsid w:val="00E463B7"/>
    <w:rPr>
      <w:color w:val="605E5C"/>
      <w:shd w:val="clear" w:color="auto" w:fill="E1DFDD"/>
    </w:rPr>
  </w:style>
  <w:style w:type="character" w:customStyle="1" w:styleId="baj">
    <w:name w:val="b_aj"/>
    <w:basedOn w:val="Fuentedeprrafopredeter"/>
    <w:rsid w:val="00A568B0"/>
  </w:style>
  <w:style w:type="paragraph" w:styleId="NormalWeb">
    <w:name w:val="Normal (Web)"/>
    <w:basedOn w:val="Normal"/>
    <w:uiPriority w:val="99"/>
    <w:semiHidden/>
    <w:unhideWhenUsed/>
    <w:rsid w:val="00A568B0"/>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iaj">
    <w:name w:val="i_aj"/>
    <w:basedOn w:val="Fuentedeprrafopredeter"/>
    <w:rsid w:val="00A568B0"/>
  </w:style>
  <w:style w:type="character" w:customStyle="1" w:styleId="Ttulo2Car">
    <w:name w:val="Título 2 Car"/>
    <w:basedOn w:val="Fuentedeprrafopredeter"/>
    <w:link w:val="Ttulo2"/>
    <w:uiPriority w:val="9"/>
    <w:rsid w:val="00393293"/>
    <w:rPr>
      <w:rFonts w:asciiTheme="majorHAnsi" w:eastAsiaTheme="majorEastAsia" w:hAnsiTheme="majorHAnsi" w:cstheme="majorBidi"/>
      <w:color w:val="2F5496" w:themeColor="accent1" w:themeShade="BF"/>
      <w:sz w:val="26"/>
      <w:szCs w:val="26"/>
    </w:rPr>
  </w:style>
  <w:style w:type="character" w:customStyle="1" w:styleId="Ttulo1Car">
    <w:name w:val="Título 1 Car"/>
    <w:basedOn w:val="Fuentedeprrafopredeter"/>
    <w:link w:val="Ttulo1"/>
    <w:uiPriority w:val="9"/>
    <w:rsid w:val="0039329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656">
      <w:bodyDiv w:val="1"/>
      <w:marLeft w:val="0"/>
      <w:marRight w:val="0"/>
      <w:marTop w:val="0"/>
      <w:marBottom w:val="0"/>
      <w:divBdr>
        <w:top w:val="none" w:sz="0" w:space="0" w:color="auto"/>
        <w:left w:val="none" w:sz="0" w:space="0" w:color="auto"/>
        <w:bottom w:val="none" w:sz="0" w:space="0" w:color="auto"/>
        <w:right w:val="none" w:sz="0" w:space="0" w:color="auto"/>
      </w:divBdr>
    </w:div>
    <w:div w:id="547032610">
      <w:bodyDiv w:val="1"/>
      <w:marLeft w:val="0"/>
      <w:marRight w:val="0"/>
      <w:marTop w:val="0"/>
      <w:marBottom w:val="0"/>
      <w:divBdr>
        <w:top w:val="none" w:sz="0" w:space="0" w:color="auto"/>
        <w:left w:val="none" w:sz="0" w:space="0" w:color="auto"/>
        <w:bottom w:val="none" w:sz="0" w:space="0" w:color="auto"/>
        <w:right w:val="none" w:sz="0" w:space="0" w:color="auto"/>
      </w:divBdr>
    </w:div>
    <w:div w:id="616328667">
      <w:bodyDiv w:val="1"/>
      <w:marLeft w:val="0"/>
      <w:marRight w:val="0"/>
      <w:marTop w:val="0"/>
      <w:marBottom w:val="0"/>
      <w:divBdr>
        <w:top w:val="none" w:sz="0" w:space="0" w:color="auto"/>
        <w:left w:val="none" w:sz="0" w:space="0" w:color="auto"/>
        <w:bottom w:val="none" w:sz="0" w:space="0" w:color="auto"/>
        <w:right w:val="none" w:sz="0" w:space="0" w:color="auto"/>
      </w:divBdr>
    </w:div>
    <w:div w:id="767386283">
      <w:bodyDiv w:val="1"/>
      <w:marLeft w:val="0"/>
      <w:marRight w:val="0"/>
      <w:marTop w:val="0"/>
      <w:marBottom w:val="0"/>
      <w:divBdr>
        <w:top w:val="none" w:sz="0" w:space="0" w:color="auto"/>
        <w:left w:val="none" w:sz="0" w:space="0" w:color="auto"/>
        <w:bottom w:val="none" w:sz="0" w:space="0" w:color="auto"/>
        <w:right w:val="none" w:sz="0" w:space="0" w:color="auto"/>
      </w:divBdr>
    </w:div>
    <w:div w:id="19385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ograma.dian.gov.co/dian/compilacion/docs/decreto_1625_2016.htm" TargetMode="External"/><Relationship Id="rId13" Type="http://schemas.openxmlformats.org/officeDocument/2006/relationships/hyperlink" Target="https://normograma.dian.gov.co/dian/compilacion/docs/concepto_tributario_dian_0000106_2022.htm" TargetMode="External"/><Relationship Id="rId18" Type="http://schemas.openxmlformats.org/officeDocument/2006/relationships/hyperlink" Target="https://normograma.dian.gov.co/dian/compilacion/docs/decreto_1625_2016.htm" TargetMode="External"/><Relationship Id="rId26" Type="http://schemas.openxmlformats.org/officeDocument/2006/relationships/hyperlink" Target="https://actualicese.com/sistema-de-facturacion-electronica-y-documentos-equivalentes-dian-expide-nueva-resolucion/" TargetMode="External"/><Relationship Id="rId3" Type="http://schemas.openxmlformats.org/officeDocument/2006/relationships/webSettings" Target="webSettings.xml"/><Relationship Id="rId21" Type="http://schemas.openxmlformats.org/officeDocument/2006/relationships/hyperlink" Target="https://normograma.dian.gov.co/dian/compilacion/docs/estatuto_tributario.htm" TargetMode="External"/><Relationship Id="rId7" Type="http://schemas.openxmlformats.org/officeDocument/2006/relationships/hyperlink" Target="https://normograma.dian.gov.co/dian/compilacion/docs/decreto_1625_2016.htm" TargetMode="External"/><Relationship Id="rId12" Type="http://schemas.openxmlformats.org/officeDocument/2006/relationships/hyperlink" Target="https://normograma.dian.gov.co/dian/compilacion/docs/estatuto_tributario.htm" TargetMode="External"/><Relationship Id="rId17" Type="http://schemas.openxmlformats.org/officeDocument/2006/relationships/hyperlink" Target="https://normograma.dian.gov.co/dian/compilacion/docs/decreto_1625_2016.htm" TargetMode="External"/><Relationship Id="rId25" Type="http://schemas.openxmlformats.org/officeDocument/2006/relationships/hyperlink" Target="https://normograma.dian.gov.co/dian/compilacion/docs/estatuto_tributario.htm" TargetMode="External"/><Relationship Id="rId2" Type="http://schemas.openxmlformats.org/officeDocument/2006/relationships/settings" Target="settings.xml"/><Relationship Id="rId16" Type="http://schemas.openxmlformats.org/officeDocument/2006/relationships/hyperlink" Target="https://normograma.dian.gov.co/dian/compilacion/docs/decreto_1625_2016.htm" TargetMode="External"/><Relationship Id="rId20" Type="http://schemas.openxmlformats.org/officeDocument/2006/relationships/hyperlink" Target="https://normograma.dian.gov.co/dian/compilacion/docs/decreto_1625_2016.ht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normograma.dian.gov.co/dian/compilacion/docs/decreto_1625_2016.htm" TargetMode="External"/><Relationship Id="rId11" Type="http://schemas.openxmlformats.org/officeDocument/2006/relationships/hyperlink" Target="https://normograma.dian.gov.co/dian/compilacion/docs/resolucion_dian_0165_2023.htm" TargetMode="External"/><Relationship Id="rId24" Type="http://schemas.openxmlformats.org/officeDocument/2006/relationships/hyperlink" Target="https://normograma.dian.gov.co/dian/compilacion/docs/estatuto_tributario.htm" TargetMode="External"/><Relationship Id="rId5" Type="http://schemas.openxmlformats.org/officeDocument/2006/relationships/hyperlink" Target="https://normograma.dian.gov.co/dian/compilacion/docs/estatuto_tributario.htm" TargetMode="External"/><Relationship Id="rId15" Type="http://schemas.openxmlformats.org/officeDocument/2006/relationships/hyperlink" Target="https://normograma.dian.gov.co/dian/compilacion/docs/resolucion_dian_0165_2023.htm" TargetMode="External"/><Relationship Id="rId23" Type="http://schemas.openxmlformats.org/officeDocument/2006/relationships/hyperlink" Target="https://normograma.dian.gov.co/dian/compilacion/docs/resolucion_dian_0042_2020.htm" TargetMode="External"/><Relationship Id="rId28" Type="http://schemas.openxmlformats.org/officeDocument/2006/relationships/fontTable" Target="fontTable.xml"/><Relationship Id="rId10" Type="http://schemas.openxmlformats.org/officeDocument/2006/relationships/hyperlink" Target="https://normograma.dian.gov.co/dian/compilacion/docs/decreto_1625_2016.htm" TargetMode="External"/><Relationship Id="rId19" Type="http://schemas.openxmlformats.org/officeDocument/2006/relationships/hyperlink" Target="https://normograma.dian.gov.co/dian/compilacion/docs/decreto_1625_2016.htm" TargetMode="External"/><Relationship Id="rId4" Type="http://schemas.openxmlformats.org/officeDocument/2006/relationships/hyperlink" Target="https://normograma.dian.gov.co/dian/compilacion/docs/oficio_dian_11620_2025.htm" TargetMode="External"/><Relationship Id="rId9" Type="http://schemas.openxmlformats.org/officeDocument/2006/relationships/hyperlink" Target="https://normograma.dian.gov.co/dian/compilacion/docs/decreto_1625_2016.htm" TargetMode="External"/><Relationship Id="rId14" Type="http://schemas.openxmlformats.org/officeDocument/2006/relationships/hyperlink" Target="https://normograma.dian.gov.co/dian/compilacion/docs/decreto_1625_2016.htm" TargetMode="External"/><Relationship Id="rId22" Type="http://schemas.openxmlformats.org/officeDocument/2006/relationships/hyperlink" Target="https://normograma.dian.gov.co/dian/compilacion/docs/decreto_1625_2016.htm" TargetMode="External"/><Relationship Id="rId27" Type="http://schemas.openxmlformats.org/officeDocument/2006/relationships/hyperlink" Target="https://actualicese.com/facturacion-electronica-dian-establecio-los-unicos-3-datos-que-se-pueden-solicitar-a-los-client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1749</Words>
  <Characters>9622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5</cp:revision>
  <dcterms:created xsi:type="dcterms:W3CDTF">2025-10-02T22:06:00Z</dcterms:created>
  <dcterms:modified xsi:type="dcterms:W3CDTF">2025-10-03T00:04:00Z</dcterms:modified>
</cp:coreProperties>
</file>